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6133" w14:textId="77777777" w:rsidR="00AC70C1" w:rsidRDefault="00E82632">
      <w:pPr>
        <w:spacing w:after="399" w:line="259" w:lineRule="auto"/>
        <w:ind w:firstLine="0"/>
      </w:pPr>
      <w:r>
        <w:rPr>
          <w:noProof/>
        </w:rPr>
        <w:drawing>
          <wp:inline distT="0" distB="0" distL="0" distR="0" wp14:anchorId="29368422" wp14:editId="393F8744">
            <wp:extent cx="5288280" cy="2250456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25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D4D7" w14:textId="77777777" w:rsidR="00AC70C1" w:rsidRDefault="00E82632">
      <w:pPr>
        <w:pStyle w:val="1"/>
        <w:ind w:left="-5"/>
      </w:pPr>
      <w:r>
        <w:rPr>
          <w:rFonts w:ascii="Wingdings" w:eastAsia="Wingdings" w:hAnsi="Wingdings" w:cs="Wingdings"/>
        </w:rPr>
        <w:t></w:t>
      </w:r>
      <w:r>
        <w:t>上周行情回顾</w:t>
      </w:r>
    </w:p>
    <w:p w14:paraId="6DD02AD9" w14:textId="77777777" w:rsidR="00AC70C1" w:rsidRDefault="00E82632">
      <w:pPr>
        <w:ind w:left="-15"/>
      </w:pPr>
      <w:r>
        <w:t>周五（</w:t>
      </w:r>
      <w:r>
        <w:rPr>
          <w:rFonts w:ascii="Times New Roman" w:eastAsia="Times New Roman" w:hAnsi="Times New Roman" w:cs="Times New Roman"/>
        </w:rPr>
        <w:t xml:space="preserve">7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11 </w:t>
      </w:r>
      <w:r>
        <w:t>日）美元兑人民币</w:t>
      </w:r>
      <w:proofErr w:type="gramStart"/>
      <w:r>
        <w:t>中间价报</w:t>
      </w:r>
      <w:proofErr w:type="gramEnd"/>
      <w:r>
        <w:t xml:space="preserve"> 7.1475</w:t>
      </w:r>
      <w:r>
        <w:t>，调降</w:t>
      </w:r>
      <w:r>
        <w:t xml:space="preserve"> 25 </w:t>
      </w:r>
      <w:r>
        <w:t>基点，上周累计调降</w:t>
      </w:r>
      <w:r>
        <w:t xml:space="preserve"> 60 </w:t>
      </w:r>
      <w:proofErr w:type="gramStart"/>
      <w:r>
        <w:t>个</w:t>
      </w:r>
      <w:proofErr w:type="gramEnd"/>
      <w:r>
        <w:t>基点。</w:t>
      </w:r>
      <w:proofErr w:type="gramStart"/>
      <w:r>
        <w:t>港交所</w:t>
      </w:r>
      <w:proofErr w:type="gramEnd"/>
      <w:r>
        <w:t>美元兑人民币期货主力合约</w:t>
      </w:r>
      <w:r>
        <w:t xml:space="preserve"> CUSF2507 </w:t>
      </w:r>
      <w:proofErr w:type="gramStart"/>
      <w:r>
        <w:t>收跌</w:t>
      </w:r>
      <w:proofErr w:type="gramEnd"/>
      <w:r>
        <w:t xml:space="preserve"> 0.35%</w:t>
      </w:r>
      <w:r>
        <w:t>。新交所美元兑离岸人民币期货主力合约</w:t>
      </w:r>
      <w:r>
        <w:t xml:space="preserve"> UCU25 </w:t>
      </w:r>
      <w:r>
        <w:t>收涨</w:t>
      </w:r>
      <w:r>
        <w:t xml:space="preserve"> 0.15%</w:t>
      </w:r>
      <w:r>
        <w:t>。</w:t>
      </w:r>
    </w:p>
    <w:p w14:paraId="6608B281" w14:textId="77777777" w:rsidR="00AC70C1" w:rsidRDefault="00E82632">
      <w:pPr>
        <w:spacing w:after="154" w:line="259" w:lineRule="auto"/>
        <w:ind w:left="10" w:right="91" w:hanging="10"/>
        <w:jc w:val="right"/>
      </w:pPr>
      <w:r>
        <w:t>美元兑在岸人民币收报</w:t>
      </w:r>
      <w:r>
        <w:t xml:space="preserve"> </w:t>
      </w:r>
      <w:r>
        <w:rPr>
          <w:rFonts w:ascii="Times New Roman" w:eastAsia="Times New Roman" w:hAnsi="Times New Roman" w:cs="Times New Roman"/>
        </w:rPr>
        <w:t>7. 1710</w:t>
      </w:r>
      <w:r>
        <w:t>，美元兑离岸人民币收报</w:t>
      </w:r>
      <w:r>
        <w:t xml:space="preserve"> </w:t>
      </w:r>
      <w:r>
        <w:rPr>
          <w:rFonts w:ascii="Times New Roman" w:eastAsia="Times New Roman" w:hAnsi="Times New Roman" w:cs="Times New Roman"/>
        </w:rPr>
        <w:t>7.1736</w:t>
      </w:r>
      <w:r>
        <w:t>，在当周分别上调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58 </w:t>
      </w:r>
      <w:proofErr w:type="gramStart"/>
      <w:r>
        <w:t>和</w:t>
      </w:r>
      <w:proofErr w:type="gramEnd"/>
    </w:p>
    <w:p w14:paraId="76B4D973" w14:textId="77777777" w:rsidR="00AC70C1" w:rsidRDefault="00E82632">
      <w:pPr>
        <w:ind w:left="-15" w:firstLine="0"/>
      </w:pPr>
      <w:r>
        <w:t>上调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90 </w:t>
      </w:r>
      <w:proofErr w:type="gramStart"/>
      <w:r>
        <w:t>个</w:t>
      </w:r>
      <w:proofErr w:type="gramEnd"/>
      <w:r>
        <w:t>基点。欧元兑人民币报</w:t>
      </w:r>
      <w:r>
        <w:t xml:space="preserve"> </w:t>
      </w:r>
      <w:r>
        <w:rPr>
          <w:rFonts w:ascii="Times New Roman" w:eastAsia="Times New Roman" w:hAnsi="Times New Roman" w:cs="Times New Roman"/>
        </w:rPr>
        <w:t>8.3788</w:t>
      </w:r>
      <w:r>
        <w:t>、英镑兑人民币报</w:t>
      </w:r>
      <w:r>
        <w:t xml:space="preserve"> </w:t>
      </w:r>
      <w:r>
        <w:rPr>
          <w:rFonts w:ascii="Times New Roman" w:eastAsia="Times New Roman" w:hAnsi="Times New Roman" w:cs="Times New Roman"/>
        </w:rPr>
        <w:t>9.7096</w:t>
      </w:r>
      <w:r>
        <w:t>、日元兑人民币报</w:t>
      </w:r>
      <w:r>
        <w:t xml:space="preserve"> </w:t>
      </w:r>
      <w:r>
        <w:rPr>
          <w:rFonts w:ascii="Times New Roman" w:eastAsia="Times New Roman" w:hAnsi="Times New Roman" w:cs="Times New Roman"/>
        </w:rPr>
        <w:t>4.8824</w:t>
      </w:r>
      <w:r>
        <w:t>、澳元兑人民币报</w:t>
      </w:r>
      <w:r>
        <w:t xml:space="preserve"> </w:t>
      </w:r>
      <w:r>
        <w:rPr>
          <w:rFonts w:ascii="Times New Roman" w:eastAsia="Times New Roman" w:hAnsi="Times New Roman" w:cs="Times New Roman"/>
        </w:rPr>
        <w:t>4.7162</w:t>
      </w:r>
      <w:r>
        <w:t>，在当周分别降</w:t>
      </w:r>
      <w: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t>、降</w:t>
      </w:r>
      <w:r>
        <w:t xml:space="preserve"> </w:t>
      </w:r>
      <w:r>
        <w:rPr>
          <w:rFonts w:ascii="Times New Roman" w:eastAsia="Times New Roman" w:hAnsi="Times New Roman" w:cs="Times New Roman"/>
        </w:rPr>
        <w:t>749</w:t>
      </w:r>
      <w:r>
        <w:t>、降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805 </w:t>
      </w:r>
      <w:r>
        <w:t>和升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167 </w:t>
      </w:r>
      <w:proofErr w:type="gramStart"/>
      <w:r>
        <w:t>个</w:t>
      </w:r>
      <w:proofErr w:type="gramEnd"/>
      <w:r>
        <w:t>基点。</w:t>
      </w:r>
    </w:p>
    <w:p w14:paraId="130701C6" w14:textId="77777777" w:rsidR="00AC70C1" w:rsidRDefault="00E82632">
      <w:pPr>
        <w:spacing w:after="154" w:line="259" w:lineRule="auto"/>
        <w:ind w:left="10" w:right="91" w:hanging="10"/>
        <w:jc w:val="right"/>
      </w:pPr>
      <w:r>
        <w:t>上周央行公开市场累计进行了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4257 </w:t>
      </w:r>
      <w:r>
        <w:t>亿元逆回购操作，当周央行公开市场有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5422 </w:t>
      </w:r>
      <w:r>
        <w:t>亿元逆</w:t>
      </w:r>
    </w:p>
    <w:p w14:paraId="0EDBB91D" w14:textId="77777777" w:rsidR="00AC70C1" w:rsidRDefault="00E82632">
      <w:pPr>
        <w:spacing w:after="428" w:line="259" w:lineRule="auto"/>
        <w:ind w:left="-15" w:firstLine="0"/>
      </w:pPr>
      <w:r>
        <w:t>回购到期，因此净回笼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2265 </w:t>
      </w:r>
      <w:r>
        <w:t>亿元。</w:t>
      </w:r>
    </w:p>
    <w:p w14:paraId="1E593925" w14:textId="77777777" w:rsidR="00AC70C1" w:rsidRDefault="00E82632">
      <w:pPr>
        <w:pStyle w:val="1"/>
        <w:ind w:left="-5"/>
      </w:pPr>
      <w:r>
        <w:rPr>
          <w:rFonts w:ascii="Wingdings" w:eastAsia="Wingdings" w:hAnsi="Wingdings" w:cs="Wingdings"/>
        </w:rPr>
        <w:t></w:t>
      </w:r>
      <w:r>
        <w:t>消息回顾</w:t>
      </w:r>
    </w:p>
    <w:p w14:paraId="5FF20F57" w14:textId="77777777" w:rsidR="00AC70C1" w:rsidRDefault="00E82632">
      <w:pPr>
        <w:numPr>
          <w:ilvl w:val="0"/>
          <w:numId w:val="1"/>
        </w:numPr>
      </w:pPr>
      <w:r>
        <w:t>外交部长王毅在结束出席东亚合作年度</w:t>
      </w:r>
      <w:proofErr w:type="gramStart"/>
      <w:r>
        <w:t>系列外长</w:t>
      </w:r>
      <w:proofErr w:type="gramEnd"/>
      <w:r>
        <w:t>会后接受中国媒体采访，就多个问题做出回应。王毅指出，中美两个大国确实拥有广泛共同利益，也存在广阔的合作空间。双方有责任，也有可能找到一条新时期中美在这个星球上的正确相处之道，这将是两国人民之福，也是世界各国所盼。王毅并表示，中方将继续同地区各</w:t>
      </w:r>
      <w:r>
        <w:t>国坚定地站在一起，团结合作、联合自强，始终做多边主义的倡导者、自由贸易的捍卫者、开放发展的贡献者。今年的东亚合作</w:t>
      </w:r>
      <w:proofErr w:type="gramStart"/>
      <w:r>
        <w:t>系列外长</w:t>
      </w:r>
      <w:proofErr w:type="gramEnd"/>
      <w:r>
        <w:t>会开得很顺利，会议取得一系列积极成果。</w:t>
      </w:r>
    </w:p>
    <w:p w14:paraId="644360B5" w14:textId="77777777" w:rsidR="00AC70C1" w:rsidRDefault="00E82632">
      <w:pPr>
        <w:numPr>
          <w:ilvl w:val="0"/>
          <w:numId w:val="1"/>
        </w:numPr>
      </w:pPr>
      <w:r>
        <w:lastRenderedPageBreak/>
        <w:t>国务院办公厅发文推出新</w:t>
      </w:r>
      <w:proofErr w:type="gramStart"/>
      <w:r>
        <w:t>一批稳就业</w:t>
      </w:r>
      <w:proofErr w:type="gramEnd"/>
      <w:r>
        <w:t>支持政策，其中包括：扩大</w:t>
      </w:r>
      <w:proofErr w:type="gramStart"/>
      <w:r>
        <w:t>稳岗扩岗</w:t>
      </w:r>
      <w:proofErr w:type="gramEnd"/>
      <w:r>
        <w:t>专项贷款支持范围，提高相关企业失业</w:t>
      </w:r>
      <w:proofErr w:type="gramStart"/>
      <w:r>
        <w:t>保险稳岗</w:t>
      </w:r>
      <w:proofErr w:type="gramEnd"/>
      <w:r>
        <w:t>返还比例，允许生产经营确有困难的企业阶段性缓缴养老保险、失业保险、工伤保险单位缴费部分；扩大社会保险补贴范围及以工代赈政策覆盖范围和项目实施规模。</w:t>
      </w:r>
    </w:p>
    <w:p w14:paraId="07E1F35F" w14:textId="77777777" w:rsidR="00AC70C1" w:rsidRDefault="00E82632">
      <w:pPr>
        <w:numPr>
          <w:ilvl w:val="0"/>
          <w:numId w:val="1"/>
        </w:numPr>
        <w:spacing w:after="142"/>
      </w:pPr>
      <w:r>
        <w:t>美国总统特朗普宣布，美国将对进口铜征收</w:t>
      </w:r>
      <w:r>
        <w:t xml:space="preserve"> 50%</w:t>
      </w:r>
      <w:r>
        <w:t>的关税，自</w:t>
      </w:r>
      <w:r>
        <w:t xml:space="preserve"> 2025 </w:t>
      </w:r>
      <w:r>
        <w:t>年</w:t>
      </w:r>
      <w:r>
        <w:t xml:space="preserve"> 8 </w:t>
      </w:r>
      <w:r>
        <w:t>月</w:t>
      </w:r>
      <w:r>
        <w:t xml:space="preserve"> 1 </w:t>
      </w:r>
      <w:r>
        <w:t>日起生效。铜是</w:t>
      </w:r>
      <w:r>
        <w:t>全球第三大消费金属，仅次于铁和铝。美国的铜消费量几乎一半来自进口，大多数进口来自智利。此外特朗普还宣布，将从</w:t>
      </w:r>
      <w:r>
        <w:t xml:space="preserve"> 8 </w:t>
      </w:r>
      <w:r>
        <w:t>月</w:t>
      </w:r>
      <w:r>
        <w:t xml:space="preserve"> 1 </w:t>
      </w:r>
      <w:r>
        <w:t>日起对加拿大产品征收</w:t>
      </w:r>
      <w:r>
        <w:t xml:space="preserve"> 35%</w:t>
      </w:r>
      <w:r>
        <w:t>的关税。特朗普还透露，将于周一（当地时间</w:t>
      </w:r>
      <w:r>
        <w:t xml:space="preserve"> 7 </w:t>
      </w:r>
      <w:r>
        <w:t>月</w:t>
      </w:r>
      <w:r>
        <w:t xml:space="preserve"> 14 </w:t>
      </w:r>
      <w:r>
        <w:t>日）就俄罗斯问题发表</w:t>
      </w:r>
      <w:r>
        <w:t>“</w:t>
      </w:r>
      <w:r>
        <w:t>重大声明</w:t>
      </w:r>
      <w:r>
        <w:t>”</w:t>
      </w:r>
      <w:r>
        <w:t>。</w:t>
      </w:r>
    </w:p>
    <w:p w14:paraId="02424168" w14:textId="77777777" w:rsidR="00AC70C1" w:rsidRDefault="00E82632">
      <w:pPr>
        <w:numPr>
          <w:ilvl w:val="0"/>
          <w:numId w:val="1"/>
        </w:numPr>
        <w:spacing w:after="682"/>
      </w:pPr>
      <w:r>
        <w:t>美联储公布的最新</w:t>
      </w:r>
      <w:r>
        <w:t xml:space="preserve"> 6 </w:t>
      </w:r>
      <w:proofErr w:type="gramStart"/>
      <w:r>
        <w:t>月会议</w:t>
      </w:r>
      <w:proofErr w:type="gramEnd"/>
      <w:r>
        <w:t>纪要显示，官员们对利率前景的分歧日益显现，主要源于他们对关税可能如何影响通胀的预期不同。与会者普遍认为，由于经济增长和劳动力市场仍然稳健，而当前的货币政策或有适度的限制性，委员会完全有能力等待通胀和经济活动前景更加明朗。</w:t>
      </w:r>
    </w:p>
    <w:p w14:paraId="42D3E79B" w14:textId="77777777" w:rsidR="00AC70C1" w:rsidRDefault="00E82632">
      <w:pPr>
        <w:spacing w:after="0" w:line="443" w:lineRule="auto"/>
        <w:ind w:left="-5" w:right="5909" w:hanging="10"/>
      </w:pPr>
      <w:r>
        <w:rPr>
          <w:rFonts w:ascii="Wingdings" w:eastAsia="Wingdings" w:hAnsi="Wingdings" w:cs="Wingdings"/>
          <w:sz w:val="28"/>
        </w:rPr>
        <w:t></w:t>
      </w:r>
      <w:r>
        <w:rPr>
          <w:sz w:val="28"/>
        </w:rPr>
        <w:t>相关图表</w:t>
      </w:r>
      <w:r>
        <w:rPr>
          <w:sz w:val="20"/>
        </w:rPr>
        <w:t>图表</w:t>
      </w:r>
      <w:r>
        <w:rPr>
          <w:sz w:val="20"/>
        </w:rPr>
        <w:t xml:space="preserve"> 1 </w:t>
      </w:r>
      <w:r>
        <w:rPr>
          <w:sz w:val="20"/>
        </w:rPr>
        <w:t>美元兑人民币中间价</w:t>
      </w:r>
    </w:p>
    <w:p w14:paraId="56690152" w14:textId="77777777" w:rsidR="00AC70C1" w:rsidRDefault="00E82632">
      <w:pPr>
        <w:spacing w:after="159" w:line="259" w:lineRule="auto"/>
        <w:ind w:left="1490" w:firstLine="0"/>
      </w:pPr>
      <w:r>
        <w:rPr>
          <w:noProof/>
        </w:rPr>
        <w:drawing>
          <wp:inline distT="0" distB="0" distL="0" distR="0" wp14:anchorId="2D34CC1C" wp14:editId="5D871CD8">
            <wp:extent cx="3381756" cy="1961388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1756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99BB" w14:textId="0B555207" w:rsidR="00AC70C1" w:rsidRDefault="00E82632">
      <w:pPr>
        <w:spacing w:after="154" w:line="265" w:lineRule="auto"/>
        <w:ind w:left="-5" w:hanging="10"/>
      </w:pPr>
      <w:r>
        <w:rPr>
          <w:sz w:val="18"/>
        </w:rPr>
        <w:t>资料来源：</w:t>
      </w:r>
      <w:r>
        <w:rPr>
          <w:sz w:val="18"/>
        </w:rPr>
        <w:t>Wind</w:t>
      </w:r>
      <w:r>
        <w:rPr>
          <w:sz w:val="18"/>
        </w:rPr>
        <w:t>，香港万峰</w:t>
      </w:r>
    </w:p>
    <w:p w14:paraId="4F6A66D6" w14:textId="77777777" w:rsidR="00AC70C1" w:rsidRDefault="00E82632">
      <w:pPr>
        <w:spacing w:after="0" w:line="259" w:lineRule="auto"/>
        <w:ind w:left="-5" w:hanging="10"/>
      </w:pPr>
      <w:r>
        <w:rPr>
          <w:sz w:val="20"/>
        </w:rPr>
        <w:t>图表</w:t>
      </w:r>
      <w:r>
        <w:rPr>
          <w:sz w:val="20"/>
        </w:rPr>
        <w:t xml:space="preserve"> 2 </w:t>
      </w:r>
      <w:proofErr w:type="gramStart"/>
      <w:r>
        <w:rPr>
          <w:sz w:val="20"/>
        </w:rPr>
        <w:t>港交所</w:t>
      </w:r>
      <w:proofErr w:type="gramEnd"/>
      <w:r>
        <w:rPr>
          <w:sz w:val="20"/>
        </w:rPr>
        <w:t>美元兑人民币期货</w:t>
      </w:r>
      <w:r>
        <w:rPr>
          <w:sz w:val="20"/>
        </w:rPr>
        <w:t>CUSF</w:t>
      </w:r>
      <w:r>
        <w:rPr>
          <w:sz w:val="20"/>
        </w:rPr>
        <w:t>主连收盘价</w:t>
      </w:r>
    </w:p>
    <w:p w14:paraId="3FF7F9A8" w14:textId="77777777" w:rsidR="00AC70C1" w:rsidRDefault="00E82632">
      <w:pPr>
        <w:spacing w:after="284" w:line="259" w:lineRule="auto"/>
        <w:ind w:firstLine="0"/>
      </w:pPr>
      <w:r>
        <w:rPr>
          <w:noProof/>
        </w:rPr>
        <w:lastRenderedPageBreak/>
        <w:drawing>
          <wp:inline distT="0" distB="0" distL="0" distR="0" wp14:anchorId="236A8009" wp14:editId="47BE8C85">
            <wp:extent cx="5274564" cy="2991612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99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7AAC" w14:textId="0BDFCA4F" w:rsidR="00AC70C1" w:rsidRDefault="00E82632">
      <w:pPr>
        <w:spacing w:after="154" w:line="265" w:lineRule="auto"/>
        <w:ind w:left="-5" w:hanging="10"/>
      </w:pPr>
      <w:r>
        <w:rPr>
          <w:sz w:val="18"/>
        </w:rPr>
        <w:t>资料来源：</w:t>
      </w:r>
      <w:r>
        <w:rPr>
          <w:sz w:val="18"/>
        </w:rPr>
        <w:t>Wind</w:t>
      </w:r>
      <w:r>
        <w:rPr>
          <w:sz w:val="18"/>
        </w:rPr>
        <w:t>，香港万峰</w:t>
      </w:r>
    </w:p>
    <w:p w14:paraId="303BEDC1" w14:textId="77777777" w:rsidR="00AC70C1" w:rsidRDefault="00E82632">
      <w:pPr>
        <w:spacing w:after="0" w:line="259" w:lineRule="auto"/>
        <w:ind w:left="-5" w:hanging="10"/>
      </w:pPr>
      <w:r>
        <w:rPr>
          <w:sz w:val="20"/>
        </w:rPr>
        <w:t>图表</w:t>
      </w:r>
      <w:r>
        <w:rPr>
          <w:sz w:val="20"/>
        </w:rPr>
        <w:t xml:space="preserve"> 3 </w:t>
      </w:r>
      <w:proofErr w:type="gramStart"/>
      <w:r>
        <w:rPr>
          <w:sz w:val="20"/>
        </w:rPr>
        <w:t>港交所</w:t>
      </w:r>
      <w:proofErr w:type="gramEnd"/>
      <w:r>
        <w:rPr>
          <w:sz w:val="20"/>
        </w:rPr>
        <w:t>美元兑人民币期货</w:t>
      </w:r>
      <w:r>
        <w:rPr>
          <w:sz w:val="20"/>
        </w:rPr>
        <w:t>CUSF</w:t>
      </w:r>
      <w:r>
        <w:rPr>
          <w:sz w:val="20"/>
        </w:rPr>
        <w:t>涨跌幅（</w:t>
      </w:r>
      <w:r>
        <w:rPr>
          <w:sz w:val="20"/>
        </w:rPr>
        <w:t>%</w:t>
      </w:r>
      <w:r>
        <w:rPr>
          <w:sz w:val="20"/>
        </w:rPr>
        <w:t>）</w:t>
      </w:r>
    </w:p>
    <w:p w14:paraId="061CD3B8" w14:textId="77777777" w:rsidR="00AC70C1" w:rsidRDefault="00E82632">
      <w:pPr>
        <w:spacing w:after="255" w:line="259" w:lineRule="auto"/>
        <w:ind w:left="1598" w:firstLine="0"/>
      </w:pPr>
      <w:r>
        <w:rPr>
          <w:noProof/>
        </w:rPr>
        <w:drawing>
          <wp:inline distT="0" distB="0" distL="0" distR="0" wp14:anchorId="7421AD72" wp14:editId="4B07D42B">
            <wp:extent cx="3243072" cy="184404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3072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DBB7" w14:textId="5A651418" w:rsidR="00AC70C1" w:rsidRDefault="00E82632">
      <w:pPr>
        <w:spacing w:after="154" w:line="265" w:lineRule="auto"/>
        <w:ind w:left="-5" w:hanging="10"/>
      </w:pPr>
      <w:r>
        <w:rPr>
          <w:sz w:val="18"/>
        </w:rPr>
        <w:t>资料来源：</w:t>
      </w:r>
      <w:r>
        <w:rPr>
          <w:sz w:val="18"/>
        </w:rPr>
        <w:t>Wind</w:t>
      </w:r>
      <w:r>
        <w:rPr>
          <w:sz w:val="18"/>
        </w:rPr>
        <w:t>，香港万峰</w:t>
      </w:r>
    </w:p>
    <w:p w14:paraId="71E3B2DA" w14:textId="77777777" w:rsidR="00AC70C1" w:rsidRDefault="00E82632">
      <w:pPr>
        <w:spacing w:after="0" w:line="259" w:lineRule="auto"/>
        <w:ind w:left="-5" w:hanging="10"/>
      </w:pPr>
      <w:r>
        <w:rPr>
          <w:sz w:val="20"/>
        </w:rPr>
        <w:t>图表</w:t>
      </w:r>
      <w:r>
        <w:rPr>
          <w:sz w:val="20"/>
        </w:rPr>
        <w:t xml:space="preserve"> 4 </w:t>
      </w:r>
      <w:r>
        <w:rPr>
          <w:sz w:val="20"/>
        </w:rPr>
        <w:t>新交所美元兑人民币期货</w:t>
      </w:r>
      <w:r>
        <w:rPr>
          <w:sz w:val="20"/>
        </w:rPr>
        <w:t>UC</w:t>
      </w:r>
      <w:r>
        <w:rPr>
          <w:sz w:val="20"/>
        </w:rPr>
        <w:t>主连收盘价</w:t>
      </w:r>
    </w:p>
    <w:p w14:paraId="475137F3" w14:textId="77777777" w:rsidR="00AC70C1" w:rsidRDefault="00E82632">
      <w:pPr>
        <w:spacing w:after="289" w:line="259" w:lineRule="auto"/>
        <w:ind w:firstLine="0"/>
      </w:pPr>
      <w:r>
        <w:rPr>
          <w:noProof/>
        </w:rPr>
        <w:lastRenderedPageBreak/>
        <w:drawing>
          <wp:inline distT="0" distB="0" distL="0" distR="0" wp14:anchorId="066342E0" wp14:editId="29094944">
            <wp:extent cx="5274564" cy="2988564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9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4EB4" w14:textId="66D1F5FD" w:rsidR="00AC70C1" w:rsidRDefault="00E82632">
      <w:pPr>
        <w:spacing w:after="154" w:line="265" w:lineRule="auto"/>
        <w:ind w:left="-5" w:hanging="10"/>
      </w:pPr>
      <w:r>
        <w:rPr>
          <w:sz w:val="18"/>
        </w:rPr>
        <w:t>资料来源：</w:t>
      </w:r>
      <w:r>
        <w:rPr>
          <w:sz w:val="18"/>
        </w:rPr>
        <w:t>Wind</w:t>
      </w:r>
      <w:r>
        <w:rPr>
          <w:sz w:val="18"/>
        </w:rPr>
        <w:t>，香港万峰</w:t>
      </w:r>
    </w:p>
    <w:p w14:paraId="4BC418AC" w14:textId="77777777" w:rsidR="00AC70C1" w:rsidRDefault="00E82632">
      <w:pPr>
        <w:spacing w:after="0" w:line="259" w:lineRule="auto"/>
        <w:ind w:left="-5" w:hanging="10"/>
      </w:pPr>
      <w:r>
        <w:rPr>
          <w:sz w:val="20"/>
        </w:rPr>
        <w:t>图表</w:t>
      </w:r>
      <w:r>
        <w:rPr>
          <w:sz w:val="20"/>
        </w:rPr>
        <w:t xml:space="preserve"> 5 </w:t>
      </w:r>
      <w:r>
        <w:rPr>
          <w:sz w:val="20"/>
        </w:rPr>
        <w:t>新交所美元兑人民币期货</w:t>
      </w:r>
      <w:r>
        <w:rPr>
          <w:sz w:val="20"/>
        </w:rPr>
        <w:t>UC</w:t>
      </w:r>
      <w:r>
        <w:rPr>
          <w:sz w:val="20"/>
        </w:rPr>
        <w:t>涨跌幅（</w:t>
      </w:r>
      <w:r>
        <w:rPr>
          <w:sz w:val="20"/>
        </w:rPr>
        <w:t>%</w:t>
      </w:r>
      <w:r>
        <w:rPr>
          <w:sz w:val="20"/>
        </w:rPr>
        <w:t>）</w:t>
      </w:r>
    </w:p>
    <w:p w14:paraId="3CF34AB0" w14:textId="77777777" w:rsidR="00AC70C1" w:rsidRDefault="00E82632">
      <w:pPr>
        <w:spacing w:after="231" w:line="259" w:lineRule="auto"/>
        <w:ind w:left="1646" w:firstLine="0"/>
      </w:pPr>
      <w:r>
        <w:rPr>
          <w:noProof/>
        </w:rPr>
        <w:drawing>
          <wp:inline distT="0" distB="0" distL="0" distR="0" wp14:anchorId="644C90E4" wp14:editId="685F56D7">
            <wp:extent cx="3182112" cy="1869948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5115C" w14:textId="1106E03B" w:rsidR="00AC70C1" w:rsidRDefault="00E82632">
      <w:pPr>
        <w:spacing w:after="154" w:line="265" w:lineRule="auto"/>
        <w:ind w:left="-5" w:hanging="10"/>
      </w:pPr>
      <w:r>
        <w:rPr>
          <w:sz w:val="18"/>
        </w:rPr>
        <w:t>资料来源：</w:t>
      </w:r>
      <w:r>
        <w:rPr>
          <w:sz w:val="18"/>
        </w:rPr>
        <w:t>Wind</w:t>
      </w:r>
      <w:r>
        <w:rPr>
          <w:sz w:val="18"/>
        </w:rPr>
        <w:t>，香港万峰</w:t>
      </w:r>
    </w:p>
    <w:p w14:paraId="77F7E4F0" w14:textId="77777777" w:rsidR="00AC70C1" w:rsidRDefault="00E82632">
      <w:pPr>
        <w:spacing w:after="0" w:line="259" w:lineRule="auto"/>
        <w:ind w:left="-5" w:hanging="10"/>
      </w:pPr>
      <w:r>
        <w:rPr>
          <w:sz w:val="20"/>
        </w:rPr>
        <w:t>图表</w:t>
      </w:r>
      <w:r>
        <w:rPr>
          <w:sz w:val="20"/>
        </w:rPr>
        <w:t xml:space="preserve"> 6 </w:t>
      </w:r>
      <w:r>
        <w:rPr>
          <w:sz w:val="20"/>
        </w:rPr>
        <w:t>在岸、离岸人民币及价差</w:t>
      </w:r>
    </w:p>
    <w:p w14:paraId="7C16C850" w14:textId="77777777" w:rsidR="00AC70C1" w:rsidRDefault="00E82632">
      <w:pPr>
        <w:spacing w:after="130" w:line="259" w:lineRule="auto"/>
        <w:ind w:left="928" w:firstLine="0"/>
      </w:pPr>
      <w:r>
        <w:rPr>
          <w:noProof/>
        </w:rPr>
        <w:lastRenderedPageBreak/>
        <w:drawing>
          <wp:inline distT="0" distB="0" distL="0" distR="0" wp14:anchorId="2C93520B" wp14:editId="2ABF44F7">
            <wp:extent cx="4088765" cy="2398395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B275" w14:textId="36E5B713" w:rsidR="00AC70C1" w:rsidRDefault="00E82632">
      <w:pPr>
        <w:spacing w:after="489" w:line="265" w:lineRule="auto"/>
        <w:ind w:left="-5" w:hanging="10"/>
      </w:pPr>
      <w:r>
        <w:rPr>
          <w:sz w:val="18"/>
        </w:rPr>
        <w:t>资料来源：</w:t>
      </w:r>
      <w:r>
        <w:rPr>
          <w:sz w:val="18"/>
        </w:rPr>
        <w:t>Wind</w:t>
      </w:r>
      <w:r>
        <w:rPr>
          <w:sz w:val="18"/>
        </w:rPr>
        <w:t>，香港万峰</w:t>
      </w:r>
    </w:p>
    <w:p w14:paraId="223DDCB1" w14:textId="77777777" w:rsidR="00AC70C1" w:rsidRDefault="00E82632">
      <w:pPr>
        <w:pStyle w:val="1"/>
        <w:ind w:left="-5"/>
      </w:pPr>
      <w:r>
        <w:rPr>
          <w:rFonts w:ascii="Wingdings" w:eastAsia="Wingdings" w:hAnsi="Wingdings" w:cs="Wingdings"/>
        </w:rPr>
        <w:t></w:t>
      </w:r>
      <w:r>
        <w:t>后市展望</w:t>
      </w:r>
    </w:p>
    <w:p w14:paraId="3A482FE4" w14:textId="77777777" w:rsidR="00AC70C1" w:rsidRDefault="00E82632">
      <w:pPr>
        <w:ind w:left="-15"/>
      </w:pPr>
      <w:r>
        <w:t>最新数据显示，美国</w:t>
      </w:r>
      <w:r>
        <w:t xml:space="preserve"> 6 </w:t>
      </w:r>
      <w:r>
        <w:t>月</w:t>
      </w:r>
      <w:proofErr w:type="gramStart"/>
      <w:r>
        <w:t>谘</w:t>
      </w:r>
      <w:proofErr w:type="gramEnd"/>
      <w:r>
        <w:t>商会就业趋势指数上</w:t>
      </w:r>
      <w:proofErr w:type="gramStart"/>
      <w:r>
        <w:t>修显示</w:t>
      </w:r>
      <w:proofErr w:type="gramEnd"/>
      <w:r>
        <w:t>短期就业市场韧性，但此前非农所揭示的就业扩散指数持续下行，仍预示劳动力市场动能不足。零售销售年率跃升至</w:t>
      </w:r>
      <w:r>
        <w:t xml:space="preserve"> 5.9% </w:t>
      </w:r>
      <w:r>
        <w:t>反映居民消费乐观预期，但</w:t>
      </w:r>
      <w:proofErr w:type="gramStart"/>
      <w:r>
        <w:t>初请失业金数据</w:t>
      </w:r>
      <w:proofErr w:type="gramEnd"/>
      <w:r>
        <w:t>的</w:t>
      </w:r>
      <w:r>
        <w:t>"</w:t>
      </w:r>
      <w:r>
        <w:t>四连降</w:t>
      </w:r>
      <w:r>
        <w:t>"</w:t>
      </w:r>
      <w:proofErr w:type="gramStart"/>
      <w:r>
        <w:t>与续请人数高</w:t>
      </w:r>
      <w:proofErr w:type="gramEnd"/>
      <w:r>
        <w:t>企并存，印证企业招聘进程持续放缓。美联储</w:t>
      </w:r>
      <w:r>
        <w:t xml:space="preserve"> 6 </w:t>
      </w:r>
      <w:proofErr w:type="gramStart"/>
      <w:r>
        <w:t>月会议</w:t>
      </w:r>
      <w:proofErr w:type="gramEnd"/>
      <w:r>
        <w:t>纪要初步释放鸽派信号，仍有待观察后续关税和关税走势，沃勒等官员表态支持年内降息，降息概率小幅抬升。特朗普减税法案通过加剧财政赤字担忧，美国</w:t>
      </w:r>
      <w:r>
        <w:t xml:space="preserve"> 2026 </w:t>
      </w:r>
      <w:r>
        <w:t>年财政赤字率或由</w:t>
      </w:r>
      <w:r>
        <w:t xml:space="preserve"> CBO </w:t>
      </w:r>
      <w:r>
        <w:t>基准值</w:t>
      </w:r>
      <w:r>
        <w:t xml:space="preserve"> 5.50%</w:t>
      </w:r>
      <w:r>
        <w:t>大幅抬升至</w:t>
      </w:r>
      <w:r>
        <w:t xml:space="preserve"> 7%</w:t>
      </w:r>
      <w:r>
        <w:t>左右，债务上限的进一步抬高导致政府财政问题持久</w:t>
      </w:r>
      <w:r>
        <w:t>化，令美元作为储备货币的地位边际松动，短期内美元多空博弈或有所加剧。</w:t>
      </w:r>
    </w:p>
    <w:p w14:paraId="7E622381" w14:textId="77777777" w:rsidR="00AC70C1" w:rsidRDefault="00E82632">
      <w:pPr>
        <w:ind w:left="-15"/>
      </w:pPr>
      <w:r>
        <w:t>国内端，我国</w:t>
      </w:r>
      <w:r>
        <w:t xml:space="preserve"> 6 </w:t>
      </w:r>
      <w:r>
        <w:t>月出口同比</w:t>
      </w:r>
      <w:r>
        <w:t xml:space="preserve"> 5.8%</w:t>
      </w:r>
      <w:r>
        <w:t>，较前值</w:t>
      </w:r>
      <w:r>
        <w:t xml:space="preserve"> 4.8%</w:t>
      </w:r>
      <w:r>
        <w:t>小幅回升，中美贸易关系缓和有助于我国外贸水平改善。但美国总统特朗普近日宣布，美国将对进口铜征收</w:t>
      </w:r>
      <w:r>
        <w:t xml:space="preserve"> 50%</w:t>
      </w:r>
      <w:r>
        <w:t>的关税，自</w:t>
      </w:r>
      <w:r>
        <w:t xml:space="preserve"> 2025 </w:t>
      </w:r>
      <w:r>
        <w:t>年</w:t>
      </w:r>
      <w:r>
        <w:t xml:space="preserve"> 8 </w:t>
      </w:r>
      <w:r>
        <w:t>月</w:t>
      </w:r>
      <w:r>
        <w:t xml:space="preserve"> 1 </w:t>
      </w:r>
      <w:r>
        <w:t>日起生效，同时将对欧盟商品征收</w:t>
      </w:r>
      <w:r>
        <w:t xml:space="preserve"> 30%</w:t>
      </w:r>
      <w:r>
        <w:t>关税，使得贸易紧张局势再度升温。并且</w:t>
      </w:r>
      <w:r>
        <w:t xml:space="preserve"> 7</w:t>
      </w:r>
      <w:r>
        <w:t>、</w:t>
      </w:r>
    </w:p>
    <w:p w14:paraId="15F8F85D" w14:textId="77777777" w:rsidR="00AC70C1" w:rsidRDefault="00E82632">
      <w:pPr>
        <w:ind w:left="-15" w:firstLine="0"/>
      </w:pPr>
      <w:r>
        <w:t xml:space="preserve">8 </w:t>
      </w:r>
      <w:r>
        <w:t>月份是欧洲、日本、越南等国家与美国重新谈判的窗口期，不确定性尚存，三季度我国出口或承压，市场避险情绪回升，近期人民币汇率震荡偏弱。</w:t>
      </w:r>
    </w:p>
    <w:p w14:paraId="0B5CBBDD" w14:textId="77777777" w:rsidR="00AC70C1" w:rsidRDefault="00E82632">
      <w:pPr>
        <w:spacing w:after="0" w:line="259" w:lineRule="auto"/>
        <w:ind w:left="178" w:firstLine="0"/>
      </w:pPr>
      <w:r>
        <w:rPr>
          <w:color w:val="CE393F"/>
          <w:sz w:val="40"/>
        </w:rPr>
        <w:lastRenderedPageBreak/>
        <w:t>△</w:t>
      </w:r>
      <w:r>
        <w:rPr>
          <w:sz w:val="20"/>
        </w:rPr>
        <w:t>免责声明</w:t>
      </w:r>
    </w:p>
    <w:p w14:paraId="7F9FC9F9" w14:textId="7F986581" w:rsidR="00AC70C1" w:rsidRDefault="00E82632">
      <w:pPr>
        <w:spacing w:after="62" w:line="341" w:lineRule="auto"/>
        <w:ind w:left="326" w:firstLine="369"/>
      </w:pPr>
      <w:r>
        <w:rPr>
          <w:color w:val="898989"/>
          <w:sz w:val="18"/>
        </w:rPr>
        <w:t>此报告由香港万峰</w:t>
      </w:r>
      <w:r>
        <w:rPr>
          <w:color w:val="898989"/>
          <w:sz w:val="18"/>
        </w:rPr>
        <w:t>所编制。本报告采用之资料及意见</w:t>
      </w:r>
      <w:proofErr w:type="gramStart"/>
      <w:r>
        <w:rPr>
          <w:color w:val="898989"/>
          <w:sz w:val="18"/>
        </w:rPr>
        <w:t>均相信</w:t>
      </w:r>
      <w:proofErr w:type="gramEnd"/>
      <w:r>
        <w:rPr>
          <w:color w:val="898989"/>
          <w:sz w:val="18"/>
        </w:rPr>
        <w:t>可靠及准确，但本公司并不对</w:t>
      </w:r>
      <w:proofErr w:type="gramStart"/>
      <w:r>
        <w:rPr>
          <w:color w:val="898989"/>
          <w:sz w:val="18"/>
        </w:rPr>
        <w:t>各分析</w:t>
      </w:r>
      <w:proofErr w:type="gramEnd"/>
      <w:r>
        <w:rPr>
          <w:color w:val="898989"/>
          <w:sz w:val="18"/>
        </w:rPr>
        <w:t>或有关资料之可靠性及准确性</w:t>
      </w:r>
      <w:proofErr w:type="gramStart"/>
      <w:r>
        <w:rPr>
          <w:color w:val="898989"/>
          <w:sz w:val="18"/>
        </w:rPr>
        <w:t>作出</w:t>
      </w:r>
      <w:proofErr w:type="gramEnd"/>
      <w:r>
        <w:rPr>
          <w:color w:val="898989"/>
          <w:sz w:val="18"/>
        </w:rPr>
        <w:t>全面性保证。本报告只供客户或读者作参考之用，客户或读者不应完全依靠本报告内容作为投资准则。</w:t>
      </w:r>
    </w:p>
    <w:p w14:paraId="30145A9B" w14:textId="77777777" w:rsidR="00AC70C1" w:rsidRDefault="00E82632">
      <w:pPr>
        <w:spacing w:after="939" w:line="341" w:lineRule="auto"/>
        <w:ind w:left="326" w:firstLine="369"/>
      </w:pPr>
      <w:r>
        <w:rPr>
          <w:color w:val="898989"/>
          <w:sz w:val="18"/>
        </w:rPr>
        <w:t>本报告之资料及意见如有任何更改，恕不另行通知。本报告并非及并无意</w:t>
      </w:r>
      <w:proofErr w:type="gramStart"/>
      <w:r>
        <w:rPr>
          <w:color w:val="898989"/>
          <w:sz w:val="18"/>
        </w:rPr>
        <w:t>图构成</w:t>
      </w:r>
      <w:proofErr w:type="gramEnd"/>
      <w:r>
        <w:rPr>
          <w:color w:val="898989"/>
          <w:sz w:val="18"/>
        </w:rPr>
        <w:t>任何作价或招揽进行买卖本报告提及的商品。本公司不会对任何因依靠本报告</w:t>
      </w:r>
      <w:proofErr w:type="gramStart"/>
      <w:r>
        <w:rPr>
          <w:color w:val="898989"/>
          <w:sz w:val="18"/>
        </w:rPr>
        <w:t>作出</w:t>
      </w:r>
      <w:proofErr w:type="gramEnd"/>
      <w:r>
        <w:rPr>
          <w:color w:val="898989"/>
          <w:sz w:val="18"/>
        </w:rPr>
        <w:t>任何买卖而引致之任何损失承担任何责任。</w:t>
      </w:r>
    </w:p>
    <w:p w14:paraId="13FB4298" w14:textId="4BB92D8C" w:rsidR="00AC70C1" w:rsidRDefault="00AC70C1">
      <w:pPr>
        <w:pStyle w:val="2"/>
        <w:tabs>
          <w:tab w:val="center" w:pos="1107"/>
          <w:tab w:val="center" w:pos="4553"/>
        </w:tabs>
        <w:ind w:left="0" w:right="0" w:firstLine="0"/>
        <w:jc w:val="left"/>
        <w:rPr>
          <w:rFonts w:hint="eastAsia"/>
        </w:rPr>
      </w:pPr>
    </w:p>
    <w:sectPr w:rsidR="00AC70C1">
      <w:pgSz w:w="11906" w:h="16838"/>
      <w:pgMar w:top="1497" w:right="1696" w:bottom="16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B0C"/>
    <w:multiLevelType w:val="hybridMultilevel"/>
    <w:tmpl w:val="317CB6B0"/>
    <w:lvl w:ilvl="0" w:tplc="F94ECF94">
      <w:start w:val="1"/>
      <w:numFmt w:val="decimal"/>
      <w:lvlText w:val="%1、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343EE4">
      <w:start w:val="1"/>
      <w:numFmt w:val="lowerLetter"/>
      <w:lvlText w:val="%2"/>
      <w:lvlJc w:val="left"/>
      <w:pPr>
        <w:ind w:left="15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AC61D6">
      <w:start w:val="1"/>
      <w:numFmt w:val="lowerRoman"/>
      <w:lvlText w:val="%3"/>
      <w:lvlJc w:val="left"/>
      <w:pPr>
        <w:ind w:left="22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8AB96">
      <w:start w:val="1"/>
      <w:numFmt w:val="decimal"/>
      <w:lvlText w:val="%4"/>
      <w:lvlJc w:val="left"/>
      <w:pPr>
        <w:ind w:left="29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64684">
      <w:start w:val="1"/>
      <w:numFmt w:val="lowerLetter"/>
      <w:lvlText w:val="%5"/>
      <w:lvlJc w:val="left"/>
      <w:pPr>
        <w:ind w:left="36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6AF94A">
      <w:start w:val="1"/>
      <w:numFmt w:val="lowerRoman"/>
      <w:lvlText w:val="%6"/>
      <w:lvlJc w:val="left"/>
      <w:pPr>
        <w:ind w:left="43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5646B6">
      <w:start w:val="1"/>
      <w:numFmt w:val="decimal"/>
      <w:lvlText w:val="%7"/>
      <w:lvlJc w:val="left"/>
      <w:pPr>
        <w:ind w:left="51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3E952A">
      <w:start w:val="1"/>
      <w:numFmt w:val="lowerLetter"/>
      <w:lvlText w:val="%8"/>
      <w:lvlJc w:val="left"/>
      <w:pPr>
        <w:ind w:left="58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52E488">
      <w:start w:val="1"/>
      <w:numFmt w:val="lowerRoman"/>
      <w:lvlText w:val="%9"/>
      <w:lvlJc w:val="left"/>
      <w:pPr>
        <w:ind w:left="6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C1"/>
    <w:rsid w:val="00AC70C1"/>
    <w:rsid w:val="00E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016E"/>
  <w15:docId w15:val="{56CEC6D5-5D01-406B-97F3-5E1BED57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92" w:lineRule="auto"/>
      <w:ind w:firstLine="410"/>
    </w:pPr>
    <w:rPr>
      <w:rFonts w:ascii="微软雅黑" w:eastAsia="微软雅黑" w:hAnsi="微软雅黑" w:cs="微软雅黑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0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34" w:line="265" w:lineRule="auto"/>
      <w:ind w:left="10" w:right="817" w:hanging="10"/>
      <w:jc w:val="right"/>
      <w:outlineLvl w:val="1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24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cheng yang</cp:lastModifiedBy>
  <cp:revision>2</cp:revision>
  <dcterms:created xsi:type="dcterms:W3CDTF">2025-07-30T16:23:00Z</dcterms:created>
  <dcterms:modified xsi:type="dcterms:W3CDTF">2025-07-30T16:23:00Z</dcterms:modified>
</cp:coreProperties>
</file>