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AA45" w14:textId="03710B86" w:rsidR="00D6738B" w:rsidRDefault="00D6738B">
      <w:pPr>
        <w:spacing w:after="399"/>
      </w:pPr>
    </w:p>
    <w:p w14:paraId="64E5026A" w14:textId="77777777" w:rsidR="00D6738B" w:rsidRDefault="004F002C">
      <w:pPr>
        <w:pStyle w:val="1"/>
        <w:ind w:left="-5"/>
      </w:pPr>
      <w:r>
        <w:rPr>
          <w:rFonts w:ascii="Wingdings" w:eastAsia="Wingdings" w:hAnsi="Wingdings" w:cs="Wingdings"/>
        </w:rPr>
        <w:t></w:t>
      </w:r>
      <w:r>
        <w:t>上周行情回顾</w:t>
      </w:r>
    </w:p>
    <w:p w14:paraId="409A852F" w14:textId="77777777" w:rsidR="00D6738B" w:rsidRDefault="004F002C">
      <w:pPr>
        <w:spacing w:after="3" w:line="392" w:lineRule="auto"/>
        <w:ind w:left="-15" w:firstLine="410"/>
      </w:pPr>
      <w:r>
        <w:rPr>
          <w:rFonts w:ascii="微软雅黑" w:eastAsia="微软雅黑" w:hAnsi="微软雅黑" w:cs="微软雅黑"/>
          <w:sz w:val="21"/>
        </w:rPr>
        <w:t>周五（</w:t>
      </w:r>
      <w:r>
        <w:rPr>
          <w:rFonts w:ascii="Times New Roman" w:eastAsia="Times New Roman" w:hAnsi="Times New Roman" w:cs="Times New Roman"/>
          <w:sz w:val="21"/>
        </w:rPr>
        <w:t xml:space="preserve">7 </w:t>
      </w:r>
      <w:r>
        <w:rPr>
          <w:rFonts w:ascii="微软雅黑" w:eastAsia="微软雅黑" w:hAnsi="微软雅黑" w:cs="微软雅黑"/>
          <w:sz w:val="21"/>
        </w:rPr>
        <w:t>月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18 </w:t>
      </w:r>
      <w:r>
        <w:rPr>
          <w:rFonts w:ascii="微软雅黑" w:eastAsia="微软雅黑" w:hAnsi="微软雅黑" w:cs="微软雅黑"/>
          <w:sz w:val="21"/>
        </w:rPr>
        <w:t>日）美元兑人民币</w:t>
      </w:r>
      <w:proofErr w:type="gramStart"/>
      <w:r>
        <w:rPr>
          <w:rFonts w:ascii="微软雅黑" w:eastAsia="微软雅黑" w:hAnsi="微软雅黑" w:cs="微软雅黑"/>
          <w:sz w:val="21"/>
        </w:rPr>
        <w:t>中间价报</w:t>
      </w:r>
      <w:proofErr w:type="gramEnd"/>
      <w:r>
        <w:rPr>
          <w:rFonts w:ascii="微软雅黑" w:eastAsia="微软雅黑" w:hAnsi="微软雅黑" w:cs="微软雅黑"/>
          <w:sz w:val="21"/>
        </w:rPr>
        <w:t xml:space="preserve"> 7.1498</w:t>
      </w:r>
      <w:r>
        <w:rPr>
          <w:rFonts w:ascii="微软雅黑" w:eastAsia="微软雅黑" w:hAnsi="微软雅黑" w:cs="微软雅黑"/>
          <w:sz w:val="21"/>
        </w:rPr>
        <w:t>，调降</w:t>
      </w:r>
      <w:r>
        <w:rPr>
          <w:rFonts w:ascii="微软雅黑" w:eastAsia="微软雅黑" w:hAnsi="微软雅黑" w:cs="微软雅黑"/>
          <w:sz w:val="21"/>
        </w:rPr>
        <w:t xml:space="preserve"> 37 </w:t>
      </w:r>
      <w:r>
        <w:rPr>
          <w:rFonts w:ascii="微软雅黑" w:eastAsia="微软雅黑" w:hAnsi="微软雅黑" w:cs="微软雅黑"/>
          <w:sz w:val="21"/>
        </w:rPr>
        <w:t>基点，上周累计调降</w:t>
      </w:r>
      <w:r>
        <w:rPr>
          <w:rFonts w:ascii="微软雅黑" w:eastAsia="微软雅黑" w:hAnsi="微软雅黑" w:cs="微软雅黑"/>
          <w:sz w:val="21"/>
        </w:rPr>
        <w:t xml:space="preserve"> 23 </w:t>
      </w:r>
      <w:proofErr w:type="gramStart"/>
      <w:r>
        <w:rPr>
          <w:rFonts w:ascii="微软雅黑" w:eastAsia="微软雅黑" w:hAnsi="微软雅黑" w:cs="微软雅黑"/>
          <w:sz w:val="21"/>
        </w:rPr>
        <w:t>个</w:t>
      </w:r>
      <w:proofErr w:type="gramEnd"/>
      <w:r>
        <w:rPr>
          <w:rFonts w:ascii="微软雅黑" w:eastAsia="微软雅黑" w:hAnsi="微软雅黑" w:cs="微软雅黑"/>
          <w:sz w:val="21"/>
        </w:rPr>
        <w:t>基点。</w:t>
      </w:r>
      <w:proofErr w:type="gramStart"/>
      <w:r>
        <w:rPr>
          <w:rFonts w:ascii="微软雅黑" w:eastAsia="微软雅黑" w:hAnsi="微软雅黑" w:cs="微软雅黑"/>
          <w:sz w:val="21"/>
        </w:rPr>
        <w:t>港交所</w:t>
      </w:r>
      <w:proofErr w:type="gramEnd"/>
      <w:r>
        <w:rPr>
          <w:rFonts w:ascii="微软雅黑" w:eastAsia="微软雅黑" w:hAnsi="微软雅黑" w:cs="微软雅黑"/>
          <w:sz w:val="21"/>
        </w:rPr>
        <w:t>美元兑人民币期货主力合约</w:t>
      </w:r>
      <w:r>
        <w:rPr>
          <w:rFonts w:ascii="微软雅黑" w:eastAsia="微软雅黑" w:hAnsi="微软雅黑" w:cs="微软雅黑"/>
          <w:sz w:val="21"/>
        </w:rPr>
        <w:t xml:space="preserve"> CUSF2509 </w:t>
      </w:r>
      <w:r>
        <w:rPr>
          <w:rFonts w:ascii="微软雅黑" w:eastAsia="微软雅黑" w:hAnsi="微软雅黑" w:cs="微软雅黑"/>
          <w:sz w:val="21"/>
        </w:rPr>
        <w:t>收涨</w:t>
      </w:r>
      <w:r>
        <w:rPr>
          <w:rFonts w:ascii="微软雅黑" w:eastAsia="微软雅黑" w:hAnsi="微软雅黑" w:cs="微软雅黑"/>
          <w:sz w:val="21"/>
        </w:rPr>
        <w:t xml:space="preserve"> 0.24%</w:t>
      </w:r>
      <w:r>
        <w:rPr>
          <w:rFonts w:ascii="微软雅黑" w:eastAsia="微软雅黑" w:hAnsi="微软雅黑" w:cs="微软雅黑"/>
          <w:sz w:val="21"/>
        </w:rPr>
        <w:t>。新交所美元兑离岸人民币期货主力合约</w:t>
      </w:r>
      <w:r>
        <w:rPr>
          <w:rFonts w:ascii="微软雅黑" w:eastAsia="微软雅黑" w:hAnsi="微软雅黑" w:cs="微软雅黑"/>
          <w:sz w:val="21"/>
        </w:rPr>
        <w:t xml:space="preserve"> UCU25 </w:t>
      </w:r>
      <w:r>
        <w:rPr>
          <w:rFonts w:ascii="微软雅黑" w:eastAsia="微软雅黑" w:hAnsi="微软雅黑" w:cs="微软雅黑"/>
          <w:sz w:val="21"/>
        </w:rPr>
        <w:t>收涨</w:t>
      </w:r>
      <w:r>
        <w:rPr>
          <w:rFonts w:ascii="微软雅黑" w:eastAsia="微软雅黑" w:hAnsi="微软雅黑" w:cs="微软雅黑"/>
          <w:sz w:val="21"/>
        </w:rPr>
        <w:t xml:space="preserve"> 0.23%</w:t>
      </w:r>
      <w:r>
        <w:rPr>
          <w:rFonts w:ascii="微软雅黑" w:eastAsia="微软雅黑" w:hAnsi="微软雅黑" w:cs="微软雅黑"/>
          <w:sz w:val="21"/>
        </w:rPr>
        <w:t>。</w:t>
      </w:r>
    </w:p>
    <w:p w14:paraId="02F42C67" w14:textId="77777777" w:rsidR="00D6738B" w:rsidRDefault="004F002C">
      <w:pPr>
        <w:spacing w:after="154"/>
        <w:ind w:left="10" w:right="91" w:hanging="10"/>
        <w:jc w:val="right"/>
      </w:pPr>
      <w:r>
        <w:rPr>
          <w:rFonts w:ascii="微软雅黑" w:eastAsia="微软雅黑" w:hAnsi="微软雅黑" w:cs="微软雅黑"/>
          <w:sz w:val="21"/>
        </w:rPr>
        <w:t>美元兑在岸人民币收报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7. 1766</w:t>
      </w:r>
      <w:r>
        <w:rPr>
          <w:rFonts w:ascii="微软雅黑" w:eastAsia="微软雅黑" w:hAnsi="微软雅黑" w:cs="微软雅黑"/>
          <w:sz w:val="21"/>
        </w:rPr>
        <w:t>，美元兑离岸人民币收报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7.1810</w:t>
      </w:r>
      <w:r>
        <w:rPr>
          <w:rFonts w:ascii="微软雅黑" w:eastAsia="微软雅黑" w:hAnsi="微软雅黑" w:cs="微软雅黑"/>
          <w:sz w:val="21"/>
        </w:rPr>
        <w:t>，在当周分别上调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56 </w:t>
      </w:r>
      <w:proofErr w:type="gramStart"/>
      <w:r>
        <w:rPr>
          <w:rFonts w:ascii="微软雅黑" w:eastAsia="微软雅黑" w:hAnsi="微软雅黑" w:cs="微软雅黑"/>
          <w:sz w:val="21"/>
        </w:rPr>
        <w:t>和</w:t>
      </w:r>
      <w:proofErr w:type="gramEnd"/>
    </w:p>
    <w:p w14:paraId="6C58141A" w14:textId="77777777" w:rsidR="00D6738B" w:rsidRDefault="004F002C">
      <w:pPr>
        <w:spacing w:after="3" w:line="392" w:lineRule="auto"/>
        <w:ind w:left="-15"/>
      </w:pPr>
      <w:r>
        <w:rPr>
          <w:rFonts w:ascii="微软雅黑" w:eastAsia="微软雅黑" w:hAnsi="微软雅黑" w:cs="微软雅黑"/>
          <w:sz w:val="21"/>
        </w:rPr>
        <w:t>上调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74 </w:t>
      </w:r>
      <w:proofErr w:type="gramStart"/>
      <w:r>
        <w:rPr>
          <w:rFonts w:ascii="微软雅黑" w:eastAsia="微软雅黑" w:hAnsi="微软雅黑" w:cs="微软雅黑"/>
          <w:sz w:val="21"/>
        </w:rPr>
        <w:t>个</w:t>
      </w:r>
      <w:proofErr w:type="gramEnd"/>
      <w:r>
        <w:rPr>
          <w:rFonts w:ascii="微软雅黑" w:eastAsia="微软雅黑" w:hAnsi="微软雅黑" w:cs="微软雅黑"/>
          <w:sz w:val="21"/>
        </w:rPr>
        <w:t>基点。欧元兑人民币报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8.3509</w:t>
      </w:r>
      <w:r>
        <w:rPr>
          <w:rFonts w:ascii="微软雅黑" w:eastAsia="微软雅黑" w:hAnsi="微软雅黑" w:cs="微软雅黑"/>
          <w:sz w:val="21"/>
        </w:rPr>
        <w:t>、英镑兑人民币报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9.6466</w:t>
      </w:r>
      <w:r>
        <w:rPr>
          <w:rFonts w:ascii="微软雅黑" w:eastAsia="微软雅黑" w:hAnsi="微软雅黑" w:cs="微软雅黑"/>
          <w:sz w:val="21"/>
        </w:rPr>
        <w:t>、日元兑人民币报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4.8280</w:t>
      </w:r>
      <w:r>
        <w:rPr>
          <w:rFonts w:ascii="微软雅黑" w:eastAsia="微软雅黑" w:hAnsi="微软雅黑" w:cs="微软雅黑"/>
          <w:sz w:val="21"/>
        </w:rPr>
        <w:t>、澳元兑人民币报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4.6778</w:t>
      </w:r>
      <w:r>
        <w:rPr>
          <w:rFonts w:ascii="微软雅黑" w:eastAsia="微软雅黑" w:hAnsi="微软雅黑" w:cs="微软雅黑"/>
          <w:sz w:val="21"/>
        </w:rPr>
        <w:t>，在当周分别降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279</w:t>
      </w:r>
      <w:r>
        <w:rPr>
          <w:rFonts w:ascii="微软雅黑" w:eastAsia="微软雅黑" w:hAnsi="微软雅黑" w:cs="微软雅黑"/>
          <w:sz w:val="21"/>
        </w:rPr>
        <w:t>、降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630</w:t>
      </w:r>
      <w:r>
        <w:rPr>
          <w:rFonts w:ascii="微软雅黑" w:eastAsia="微软雅黑" w:hAnsi="微软雅黑" w:cs="微软雅黑"/>
          <w:sz w:val="21"/>
        </w:rPr>
        <w:t>、降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544 </w:t>
      </w:r>
      <w:r>
        <w:rPr>
          <w:rFonts w:ascii="微软雅黑" w:eastAsia="微软雅黑" w:hAnsi="微软雅黑" w:cs="微软雅黑"/>
          <w:sz w:val="21"/>
        </w:rPr>
        <w:t>和降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384 </w:t>
      </w:r>
      <w:proofErr w:type="gramStart"/>
      <w:r>
        <w:rPr>
          <w:rFonts w:ascii="微软雅黑" w:eastAsia="微软雅黑" w:hAnsi="微软雅黑" w:cs="微软雅黑"/>
          <w:sz w:val="21"/>
        </w:rPr>
        <w:t>个</w:t>
      </w:r>
      <w:proofErr w:type="gramEnd"/>
      <w:r>
        <w:rPr>
          <w:rFonts w:ascii="微软雅黑" w:eastAsia="微软雅黑" w:hAnsi="微软雅黑" w:cs="微软雅黑"/>
          <w:sz w:val="21"/>
        </w:rPr>
        <w:t>基点。</w:t>
      </w:r>
    </w:p>
    <w:p w14:paraId="0A081B7E" w14:textId="77777777" w:rsidR="00D6738B" w:rsidRDefault="004F002C">
      <w:pPr>
        <w:spacing w:after="154"/>
        <w:ind w:left="10" w:right="91" w:hanging="10"/>
        <w:jc w:val="right"/>
      </w:pPr>
      <w:r>
        <w:rPr>
          <w:rFonts w:ascii="微软雅黑" w:eastAsia="微软雅黑" w:hAnsi="微软雅黑" w:cs="微软雅黑"/>
          <w:sz w:val="21"/>
        </w:rPr>
        <w:t>上周央行公开市场累计进行了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17268 </w:t>
      </w:r>
      <w:r>
        <w:rPr>
          <w:rFonts w:ascii="微软雅黑" w:eastAsia="微软雅黑" w:hAnsi="微软雅黑" w:cs="微软雅黑"/>
          <w:sz w:val="21"/>
        </w:rPr>
        <w:t>亿元逆回购操作，当周央行公开市场有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5257 </w:t>
      </w:r>
      <w:r>
        <w:rPr>
          <w:rFonts w:ascii="微软雅黑" w:eastAsia="微软雅黑" w:hAnsi="微软雅黑" w:cs="微软雅黑"/>
          <w:sz w:val="21"/>
        </w:rPr>
        <w:t>亿元</w:t>
      </w:r>
    </w:p>
    <w:p w14:paraId="7413667F" w14:textId="77777777" w:rsidR="00D6738B" w:rsidRDefault="004F002C">
      <w:pPr>
        <w:spacing w:after="427"/>
        <w:ind w:left="-15"/>
      </w:pPr>
      <w:r>
        <w:rPr>
          <w:rFonts w:ascii="微软雅黑" w:eastAsia="微软雅黑" w:hAnsi="微软雅黑" w:cs="微软雅黑"/>
          <w:sz w:val="21"/>
        </w:rPr>
        <w:t>逆回购到期，因此净投放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12011 </w:t>
      </w:r>
      <w:r>
        <w:rPr>
          <w:rFonts w:ascii="微软雅黑" w:eastAsia="微软雅黑" w:hAnsi="微软雅黑" w:cs="微软雅黑"/>
          <w:sz w:val="21"/>
        </w:rPr>
        <w:t>亿元。</w:t>
      </w:r>
    </w:p>
    <w:p w14:paraId="274FF90B" w14:textId="77777777" w:rsidR="00D6738B" w:rsidRDefault="004F002C">
      <w:pPr>
        <w:pStyle w:val="1"/>
        <w:ind w:left="-5"/>
      </w:pPr>
      <w:r>
        <w:rPr>
          <w:rFonts w:ascii="Wingdings" w:eastAsia="Wingdings" w:hAnsi="Wingdings" w:cs="Wingdings"/>
        </w:rPr>
        <w:t></w:t>
      </w:r>
      <w:r>
        <w:t>消息回顾</w:t>
      </w:r>
    </w:p>
    <w:p w14:paraId="4211EBD8" w14:textId="77777777" w:rsidR="00D6738B" w:rsidRDefault="004F002C">
      <w:pPr>
        <w:numPr>
          <w:ilvl w:val="0"/>
          <w:numId w:val="1"/>
        </w:numPr>
        <w:spacing w:after="3" w:line="392" w:lineRule="auto"/>
        <w:ind w:firstLine="410"/>
      </w:pPr>
      <w:r>
        <w:rPr>
          <w:rFonts w:ascii="微软雅黑" w:eastAsia="微软雅黑" w:hAnsi="微软雅黑" w:cs="微软雅黑"/>
          <w:sz w:val="21"/>
        </w:rPr>
        <w:t>工信部等四部门部署进一步规范新能源汽车产业竞争秩序工作，要求深入推进产品价格监测、产品一致性监督检查、缩短供应商</w:t>
      </w:r>
      <w:proofErr w:type="gramStart"/>
      <w:r>
        <w:rPr>
          <w:rFonts w:ascii="微软雅黑" w:eastAsia="微软雅黑" w:hAnsi="微软雅黑" w:cs="微软雅黑"/>
          <w:sz w:val="21"/>
        </w:rPr>
        <w:t>货款账期等</w:t>
      </w:r>
      <w:proofErr w:type="gramEnd"/>
      <w:r>
        <w:rPr>
          <w:rFonts w:ascii="微软雅黑" w:eastAsia="微软雅黑" w:hAnsi="微软雅黑" w:cs="微软雅黑"/>
          <w:sz w:val="21"/>
        </w:rPr>
        <w:t>工作。加强行业自律，共同抵制</w:t>
      </w:r>
      <w:r>
        <w:rPr>
          <w:rFonts w:ascii="微软雅黑" w:eastAsia="微软雅黑" w:hAnsi="微软雅黑" w:cs="微软雅黑"/>
          <w:sz w:val="21"/>
        </w:rPr>
        <w:t>“</w:t>
      </w:r>
      <w:r>
        <w:rPr>
          <w:rFonts w:ascii="微软雅黑" w:eastAsia="微软雅黑" w:hAnsi="微软雅黑" w:cs="微软雅黑"/>
          <w:sz w:val="21"/>
        </w:rPr>
        <w:t>网络水军</w:t>
      </w:r>
      <w:r>
        <w:rPr>
          <w:rFonts w:ascii="微软雅黑" w:eastAsia="微软雅黑" w:hAnsi="微软雅黑" w:cs="微软雅黑"/>
          <w:sz w:val="21"/>
        </w:rPr>
        <w:t>”“</w:t>
      </w:r>
      <w:r>
        <w:rPr>
          <w:rFonts w:ascii="微软雅黑" w:eastAsia="微软雅黑" w:hAnsi="微软雅黑" w:cs="微软雅黑"/>
          <w:sz w:val="21"/>
        </w:rPr>
        <w:t>黑公关</w:t>
      </w:r>
      <w:r>
        <w:rPr>
          <w:rFonts w:ascii="微软雅黑" w:eastAsia="微软雅黑" w:hAnsi="微软雅黑" w:cs="微软雅黑"/>
          <w:sz w:val="21"/>
        </w:rPr>
        <w:t>”</w:t>
      </w:r>
      <w:r>
        <w:rPr>
          <w:rFonts w:ascii="微软雅黑" w:eastAsia="微软雅黑" w:hAnsi="微软雅黑" w:cs="微软雅黑"/>
          <w:sz w:val="21"/>
        </w:rPr>
        <w:t>等网络乱象。</w:t>
      </w:r>
    </w:p>
    <w:p w14:paraId="449196EF" w14:textId="77777777" w:rsidR="00D6738B" w:rsidRDefault="004F002C">
      <w:pPr>
        <w:numPr>
          <w:ilvl w:val="0"/>
          <w:numId w:val="1"/>
        </w:numPr>
        <w:spacing w:after="4" w:line="387" w:lineRule="auto"/>
        <w:ind w:firstLine="410"/>
      </w:pPr>
      <w:r>
        <w:rPr>
          <w:rFonts w:ascii="微软雅黑" w:eastAsia="微软雅黑" w:hAnsi="微软雅黑" w:cs="微软雅黑"/>
          <w:sz w:val="21"/>
        </w:rPr>
        <w:t>美联储发布的经济状况</w:t>
      </w:r>
      <w:r>
        <w:rPr>
          <w:rFonts w:ascii="微软雅黑" w:eastAsia="微软雅黑" w:hAnsi="微软雅黑" w:cs="微软雅黑"/>
          <w:sz w:val="21"/>
        </w:rPr>
        <w:t>“</w:t>
      </w:r>
      <w:r>
        <w:rPr>
          <w:rFonts w:ascii="微软雅黑" w:eastAsia="微软雅黑" w:hAnsi="微软雅黑" w:cs="微软雅黑"/>
          <w:sz w:val="21"/>
        </w:rPr>
        <w:t>褐皮书</w:t>
      </w:r>
      <w:r>
        <w:rPr>
          <w:rFonts w:ascii="微软雅黑" w:eastAsia="微软雅黑" w:hAnsi="微软雅黑" w:cs="微软雅黑"/>
          <w:sz w:val="21"/>
        </w:rPr>
        <w:t>”</w:t>
      </w:r>
      <w:r>
        <w:rPr>
          <w:rFonts w:ascii="微软雅黑" w:eastAsia="微软雅黑" w:hAnsi="微软雅黑" w:cs="微软雅黑"/>
          <w:sz w:val="21"/>
        </w:rPr>
        <w:t>显示，从</w:t>
      </w:r>
      <w:r>
        <w:rPr>
          <w:rFonts w:ascii="微软雅黑" w:eastAsia="微软雅黑" w:hAnsi="微软雅黑" w:cs="微软雅黑"/>
          <w:sz w:val="21"/>
        </w:rPr>
        <w:t xml:space="preserve"> 5 </w:t>
      </w:r>
      <w:r>
        <w:rPr>
          <w:rFonts w:ascii="微软雅黑" w:eastAsia="微软雅黑" w:hAnsi="微软雅黑" w:cs="微软雅黑"/>
          <w:sz w:val="21"/>
        </w:rPr>
        <w:t>月下旬到</w:t>
      </w:r>
      <w:r>
        <w:rPr>
          <w:rFonts w:ascii="微软雅黑" w:eastAsia="微软雅黑" w:hAnsi="微软雅黑" w:cs="微软雅黑"/>
          <w:sz w:val="21"/>
        </w:rPr>
        <w:t xml:space="preserve"> 7 </w:t>
      </w:r>
      <w:r>
        <w:rPr>
          <w:rFonts w:ascii="微软雅黑" w:eastAsia="微软雅黑" w:hAnsi="微软雅黑" w:cs="微软雅黑"/>
          <w:sz w:val="21"/>
        </w:rPr>
        <w:t>月初，经济活动略有增加。不确定性仍然</w:t>
      </w:r>
      <w:r>
        <w:rPr>
          <w:rFonts w:ascii="微软雅黑" w:eastAsia="微软雅黑" w:hAnsi="微软雅黑" w:cs="微软雅黑"/>
          <w:sz w:val="21"/>
        </w:rPr>
        <w:t>很高，导致企业持续保持谨慎。旅游业活动涨跌互现，制造业活动小幅下降，非金融服务业活动平均而言几乎没有变化，但各地区之间存在差异。经济前景呈中性至略微悲观态势。</w:t>
      </w:r>
    </w:p>
    <w:p w14:paraId="20582405" w14:textId="77777777" w:rsidR="00D6738B" w:rsidRDefault="004F002C">
      <w:pPr>
        <w:numPr>
          <w:ilvl w:val="0"/>
          <w:numId w:val="1"/>
        </w:numPr>
        <w:spacing w:after="4" w:line="387" w:lineRule="auto"/>
        <w:ind w:firstLine="410"/>
      </w:pPr>
      <w:r>
        <w:rPr>
          <w:rFonts w:ascii="微软雅黑" w:eastAsia="微软雅黑" w:hAnsi="微软雅黑" w:cs="微软雅黑"/>
          <w:sz w:val="21"/>
        </w:rPr>
        <w:t>欧盟成员国正式批准对俄罗斯第</w:t>
      </w:r>
      <w:r>
        <w:rPr>
          <w:rFonts w:ascii="微软雅黑" w:eastAsia="微软雅黑" w:hAnsi="微软雅黑" w:cs="微软雅黑"/>
          <w:sz w:val="21"/>
        </w:rPr>
        <w:t xml:space="preserve"> 18 </w:t>
      </w:r>
      <w:r>
        <w:rPr>
          <w:rFonts w:ascii="微软雅黑" w:eastAsia="微软雅黑" w:hAnsi="微软雅黑" w:cs="微软雅黑"/>
          <w:sz w:val="21"/>
        </w:rPr>
        <w:t>轮制裁方案，首次对俄罗斯石油公司在印度的最大炼油厂实施制裁。此轮制裁还包括禁止</w:t>
      </w:r>
      <w:r>
        <w:rPr>
          <w:rFonts w:ascii="微软雅黑" w:eastAsia="微软雅黑" w:hAnsi="微软雅黑" w:cs="微软雅黑"/>
          <w:sz w:val="21"/>
        </w:rPr>
        <w:t>“</w:t>
      </w:r>
      <w:r>
        <w:rPr>
          <w:rFonts w:ascii="微软雅黑" w:eastAsia="微软雅黑" w:hAnsi="微软雅黑" w:cs="微软雅黑"/>
          <w:sz w:val="21"/>
        </w:rPr>
        <w:t>北溪</w:t>
      </w:r>
      <w:r>
        <w:rPr>
          <w:rFonts w:ascii="微软雅黑" w:eastAsia="微软雅黑" w:hAnsi="微软雅黑" w:cs="微软雅黑"/>
          <w:sz w:val="21"/>
        </w:rPr>
        <w:t>”</w:t>
      </w:r>
      <w:r>
        <w:rPr>
          <w:rFonts w:ascii="微软雅黑" w:eastAsia="微软雅黑" w:hAnsi="微软雅黑" w:cs="微软雅黑"/>
          <w:sz w:val="21"/>
        </w:rPr>
        <w:t>天然气管</w:t>
      </w:r>
      <w:proofErr w:type="gramStart"/>
      <w:r>
        <w:rPr>
          <w:rFonts w:ascii="微软雅黑" w:eastAsia="微软雅黑" w:hAnsi="微软雅黑" w:cs="微软雅黑"/>
          <w:sz w:val="21"/>
        </w:rPr>
        <w:t>道相关</w:t>
      </w:r>
      <w:proofErr w:type="gramEnd"/>
      <w:r>
        <w:rPr>
          <w:rFonts w:ascii="微软雅黑" w:eastAsia="微软雅黑" w:hAnsi="微软雅黑" w:cs="微软雅黑"/>
          <w:sz w:val="21"/>
        </w:rPr>
        <w:t>活动、降低石油价格上限至</w:t>
      </w:r>
      <w:r>
        <w:rPr>
          <w:rFonts w:ascii="微软雅黑" w:eastAsia="微软雅黑" w:hAnsi="微软雅黑" w:cs="微软雅黑"/>
          <w:sz w:val="21"/>
        </w:rPr>
        <w:t xml:space="preserve"> 47.6 </w:t>
      </w:r>
      <w:r>
        <w:rPr>
          <w:rFonts w:ascii="微软雅黑" w:eastAsia="微软雅黑" w:hAnsi="微软雅黑" w:cs="微软雅黑"/>
          <w:sz w:val="21"/>
        </w:rPr>
        <w:t>美元等。</w:t>
      </w:r>
    </w:p>
    <w:p w14:paraId="706A9B72" w14:textId="77777777" w:rsidR="00D6738B" w:rsidRDefault="004F002C">
      <w:pPr>
        <w:numPr>
          <w:ilvl w:val="0"/>
          <w:numId w:val="1"/>
        </w:numPr>
        <w:spacing w:after="3" w:line="392" w:lineRule="auto"/>
        <w:ind w:firstLine="410"/>
      </w:pPr>
      <w:r>
        <w:rPr>
          <w:rFonts w:ascii="微软雅黑" w:eastAsia="微软雅黑" w:hAnsi="微软雅黑" w:cs="微软雅黑"/>
          <w:sz w:val="21"/>
        </w:rPr>
        <w:lastRenderedPageBreak/>
        <w:t>国际评级机构惠誉称，政策风险给美国信用前景蒙上阴影。惠誉在年中更新中，将美国</w:t>
      </w:r>
      <w:r>
        <w:rPr>
          <w:rFonts w:ascii="微软雅黑" w:eastAsia="微软雅黑" w:hAnsi="微软雅黑" w:cs="微软雅黑"/>
          <w:sz w:val="21"/>
        </w:rPr>
        <w:t xml:space="preserve"> 2025 </w:t>
      </w:r>
      <w:r>
        <w:rPr>
          <w:rFonts w:ascii="微软雅黑" w:eastAsia="微软雅黑" w:hAnsi="微软雅黑" w:cs="微软雅黑"/>
          <w:sz w:val="21"/>
        </w:rPr>
        <w:t>年</w:t>
      </w:r>
      <w:r>
        <w:rPr>
          <w:rFonts w:ascii="微软雅黑" w:eastAsia="微软雅黑" w:hAnsi="微软雅黑" w:cs="微软雅黑"/>
          <w:sz w:val="21"/>
        </w:rPr>
        <w:t xml:space="preserve"> 25%</w:t>
      </w:r>
      <w:r>
        <w:rPr>
          <w:rFonts w:ascii="微软雅黑" w:eastAsia="微软雅黑" w:hAnsi="微软雅黑" w:cs="微软雅黑"/>
          <w:sz w:val="21"/>
        </w:rPr>
        <w:t>行业的前景展望下调至</w:t>
      </w:r>
      <w:r>
        <w:rPr>
          <w:rFonts w:ascii="微软雅黑" w:eastAsia="微软雅黑" w:hAnsi="微软雅黑" w:cs="微软雅黑"/>
          <w:sz w:val="21"/>
        </w:rPr>
        <w:t>“</w:t>
      </w:r>
      <w:r>
        <w:rPr>
          <w:rFonts w:ascii="微软雅黑" w:eastAsia="微软雅黑" w:hAnsi="微软雅黑" w:cs="微软雅黑"/>
          <w:sz w:val="21"/>
        </w:rPr>
        <w:t>恶化</w:t>
      </w:r>
      <w:r>
        <w:rPr>
          <w:rFonts w:ascii="微软雅黑" w:eastAsia="微软雅黑" w:hAnsi="微软雅黑" w:cs="微软雅黑"/>
          <w:sz w:val="21"/>
        </w:rPr>
        <w:t>”</w:t>
      </w:r>
      <w:r>
        <w:rPr>
          <w:rFonts w:ascii="微软雅黑" w:eastAsia="微软雅黑" w:hAnsi="微软雅黑" w:cs="微软雅黑"/>
          <w:sz w:val="21"/>
        </w:rPr>
        <w:t>，原因是不确定性增加、经济增长放缓以及预期利</w:t>
      </w:r>
      <w:r>
        <w:rPr>
          <w:rFonts w:ascii="微软雅黑" w:eastAsia="微软雅黑" w:hAnsi="微软雅黑" w:cs="微软雅黑"/>
          <w:sz w:val="21"/>
        </w:rPr>
        <w:t>率将长期维持在高位。</w:t>
      </w:r>
    </w:p>
    <w:p w14:paraId="44DA5721" w14:textId="77777777" w:rsidR="00D6738B" w:rsidRDefault="004F002C">
      <w:pPr>
        <w:spacing w:after="0" w:line="446" w:lineRule="auto"/>
        <w:ind w:left="-5" w:right="5909" w:hanging="10"/>
      </w:pPr>
      <w:r>
        <w:rPr>
          <w:rFonts w:ascii="Wingdings" w:eastAsia="Wingdings" w:hAnsi="Wingdings" w:cs="Wingdings"/>
          <w:sz w:val="28"/>
        </w:rPr>
        <w:t></w:t>
      </w:r>
      <w:r>
        <w:rPr>
          <w:rFonts w:ascii="微软雅黑" w:eastAsia="微软雅黑" w:hAnsi="微软雅黑" w:cs="微软雅黑"/>
          <w:sz w:val="28"/>
        </w:rPr>
        <w:t>相关图表</w:t>
      </w:r>
      <w:r>
        <w:rPr>
          <w:rFonts w:ascii="微软雅黑" w:eastAsia="微软雅黑" w:hAnsi="微软雅黑" w:cs="微软雅黑"/>
          <w:sz w:val="20"/>
        </w:rPr>
        <w:t>图表</w:t>
      </w:r>
      <w:r>
        <w:rPr>
          <w:rFonts w:ascii="微软雅黑" w:eastAsia="微软雅黑" w:hAnsi="微软雅黑" w:cs="微软雅黑"/>
          <w:sz w:val="20"/>
        </w:rPr>
        <w:t xml:space="preserve"> 1 </w:t>
      </w:r>
      <w:r>
        <w:rPr>
          <w:rFonts w:ascii="微软雅黑" w:eastAsia="微软雅黑" w:hAnsi="微软雅黑" w:cs="微软雅黑"/>
          <w:sz w:val="20"/>
        </w:rPr>
        <w:t>美元兑人民币中间价</w:t>
      </w:r>
    </w:p>
    <w:p w14:paraId="074D6A6D" w14:textId="77777777" w:rsidR="00D6738B" w:rsidRDefault="004F002C">
      <w:pPr>
        <w:spacing w:after="236"/>
        <w:ind w:left="1632"/>
      </w:pPr>
      <w:r>
        <w:rPr>
          <w:noProof/>
        </w:rPr>
        <w:drawing>
          <wp:inline distT="0" distB="0" distL="0" distR="0" wp14:anchorId="3F637C1C" wp14:editId="669D05A7">
            <wp:extent cx="3200400" cy="1865376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89E7B" w14:textId="58B39817" w:rsidR="00D6738B" w:rsidRDefault="004F002C">
      <w:pPr>
        <w:spacing w:after="154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t>资料来源：</w:t>
      </w:r>
      <w:r>
        <w:rPr>
          <w:rFonts w:ascii="微软雅黑" w:eastAsia="微软雅黑" w:hAnsi="微软雅黑" w:cs="微软雅黑"/>
          <w:sz w:val="18"/>
        </w:rPr>
        <w:t>Wind</w:t>
      </w:r>
      <w:r>
        <w:rPr>
          <w:rFonts w:ascii="微软雅黑" w:eastAsia="微软雅黑" w:hAnsi="微软雅黑" w:cs="微软雅黑"/>
          <w:sz w:val="18"/>
        </w:rPr>
        <w:t>，香港万峰</w:t>
      </w:r>
    </w:p>
    <w:p w14:paraId="3FE4A814" w14:textId="77777777" w:rsidR="00D6738B" w:rsidRDefault="004F002C">
      <w:pPr>
        <w:spacing w:after="0"/>
        <w:ind w:left="-5" w:hanging="10"/>
      </w:pPr>
      <w:r>
        <w:rPr>
          <w:rFonts w:ascii="微软雅黑" w:eastAsia="微软雅黑" w:hAnsi="微软雅黑" w:cs="微软雅黑"/>
          <w:sz w:val="20"/>
        </w:rPr>
        <w:t>图表</w:t>
      </w:r>
      <w:r>
        <w:rPr>
          <w:rFonts w:ascii="微软雅黑" w:eastAsia="微软雅黑" w:hAnsi="微软雅黑" w:cs="微软雅黑"/>
          <w:sz w:val="20"/>
        </w:rPr>
        <w:t xml:space="preserve"> 2 </w:t>
      </w:r>
      <w:proofErr w:type="gramStart"/>
      <w:r>
        <w:rPr>
          <w:rFonts w:ascii="微软雅黑" w:eastAsia="微软雅黑" w:hAnsi="微软雅黑" w:cs="微软雅黑"/>
          <w:sz w:val="20"/>
        </w:rPr>
        <w:t>港交所</w:t>
      </w:r>
      <w:proofErr w:type="gramEnd"/>
      <w:r>
        <w:rPr>
          <w:rFonts w:ascii="微软雅黑" w:eastAsia="微软雅黑" w:hAnsi="微软雅黑" w:cs="微软雅黑"/>
          <w:sz w:val="20"/>
        </w:rPr>
        <w:t>美元兑人民币期货</w:t>
      </w:r>
      <w:r>
        <w:rPr>
          <w:rFonts w:ascii="微软雅黑" w:eastAsia="微软雅黑" w:hAnsi="微软雅黑" w:cs="微软雅黑"/>
          <w:sz w:val="20"/>
        </w:rPr>
        <w:t>CUSF</w:t>
      </w:r>
      <w:r>
        <w:rPr>
          <w:rFonts w:ascii="微软雅黑" w:eastAsia="微软雅黑" w:hAnsi="微软雅黑" w:cs="微软雅黑"/>
          <w:sz w:val="20"/>
        </w:rPr>
        <w:t>主连收盘价</w:t>
      </w:r>
    </w:p>
    <w:p w14:paraId="4210E779" w14:textId="77777777" w:rsidR="00D6738B" w:rsidRDefault="004F002C">
      <w:pPr>
        <w:spacing w:after="284"/>
      </w:pPr>
      <w:r>
        <w:rPr>
          <w:noProof/>
        </w:rPr>
        <w:drawing>
          <wp:inline distT="0" distB="0" distL="0" distR="0" wp14:anchorId="30EEBC73" wp14:editId="51C04704">
            <wp:extent cx="5274564" cy="2994660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EF7D" w14:textId="7FD2C036" w:rsidR="00D6738B" w:rsidRDefault="004F002C">
      <w:pPr>
        <w:spacing w:after="154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t>资料来源：</w:t>
      </w:r>
      <w:r>
        <w:rPr>
          <w:rFonts w:ascii="微软雅黑" w:eastAsia="微软雅黑" w:hAnsi="微软雅黑" w:cs="微软雅黑"/>
          <w:sz w:val="18"/>
        </w:rPr>
        <w:t>Wind</w:t>
      </w:r>
      <w:r>
        <w:rPr>
          <w:rFonts w:ascii="微软雅黑" w:eastAsia="微软雅黑" w:hAnsi="微软雅黑" w:cs="微软雅黑"/>
          <w:sz w:val="18"/>
        </w:rPr>
        <w:t>，香港万峰</w:t>
      </w:r>
    </w:p>
    <w:p w14:paraId="42CC62C8" w14:textId="77777777" w:rsidR="00D6738B" w:rsidRDefault="004F002C">
      <w:pPr>
        <w:spacing w:after="0"/>
        <w:ind w:left="-5" w:hanging="10"/>
      </w:pPr>
      <w:r>
        <w:rPr>
          <w:rFonts w:ascii="微软雅黑" w:eastAsia="微软雅黑" w:hAnsi="微软雅黑" w:cs="微软雅黑"/>
          <w:sz w:val="20"/>
        </w:rPr>
        <w:t>图表</w:t>
      </w:r>
      <w:r>
        <w:rPr>
          <w:rFonts w:ascii="微软雅黑" w:eastAsia="微软雅黑" w:hAnsi="微软雅黑" w:cs="微软雅黑"/>
          <w:sz w:val="20"/>
        </w:rPr>
        <w:t xml:space="preserve"> 3 </w:t>
      </w:r>
      <w:proofErr w:type="gramStart"/>
      <w:r>
        <w:rPr>
          <w:rFonts w:ascii="微软雅黑" w:eastAsia="微软雅黑" w:hAnsi="微软雅黑" w:cs="微软雅黑"/>
          <w:sz w:val="20"/>
        </w:rPr>
        <w:t>港交所</w:t>
      </w:r>
      <w:proofErr w:type="gramEnd"/>
      <w:r>
        <w:rPr>
          <w:rFonts w:ascii="微软雅黑" w:eastAsia="微软雅黑" w:hAnsi="微软雅黑" w:cs="微软雅黑"/>
          <w:sz w:val="20"/>
        </w:rPr>
        <w:t>美元兑人民币期货</w:t>
      </w:r>
      <w:r>
        <w:rPr>
          <w:rFonts w:ascii="微软雅黑" w:eastAsia="微软雅黑" w:hAnsi="微软雅黑" w:cs="微软雅黑"/>
          <w:sz w:val="20"/>
        </w:rPr>
        <w:t>CUSF</w:t>
      </w:r>
      <w:r>
        <w:rPr>
          <w:rFonts w:ascii="微软雅黑" w:eastAsia="微软雅黑" w:hAnsi="微软雅黑" w:cs="微软雅黑"/>
          <w:sz w:val="20"/>
        </w:rPr>
        <w:t>涨跌幅（</w:t>
      </w:r>
      <w:r>
        <w:rPr>
          <w:rFonts w:ascii="微软雅黑" w:eastAsia="微软雅黑" w:hAnsi="微软雅黑" w:cs="微软雅黑"/>
          <w:sz w:val="20"/>
        </w:rPr>
        <w:t>%</w:t>
      </w:r>
      <w:r>
        <w:rPr>
          <w:rFonts w:ascii="微软雅黑" w:eastAsia="微软雅黑" w:hAnsi="微软雅黑" w:cs="微软雅黑"/>
          <w:sz w:val="20"/>
        </w:rPr>
        <w:t>）</w:t>
      </w:r>
    </w:p>
    <w:p w14:paraId="35F65A5D" w14:textId="77777777" w:rsidR="00D6738B" w:rsidRDefault="004F002C">
      <w:pPr>
        <w:spacing w:after="0"/>
        <w:ind w:left="1498"/>
      </w:pPr>
      <w:r>
        <w:rPr>
          <w:noProof/>
        </w:rPr>
        <w:lastRenderedPageBreak/>
        <w:drawing>
          <wp:inline distT="0" distB="0" distL="0" distR="0" wp14:anchorId="587149FB" wp14:editId="0D3000BF">
            <wp:extent cx="3364992" cy="1886712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188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5751B" w14:textId="47616612" w:rsidR="00D6738B" w:rsidRDefault="004F002C">
      <w:pPr>
        <w:spacing w:after="154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t>资料来源：</w:t>
      </w:r>
      <w:r>
        <w:rPr>
          <w:rFonts w:ascii="微软雅黑" w:eastAsia="微软雅黑" w:hAnsi="微软雅黑" w:cs="微软雅黑"/>
          <w:sz w:val="18"/>
        </w:rPr>
        <w:t>Wind</w:t>
      </w:r>
      <w:r>
        <w:rPr>
          <w:rFonts w:ascii="微软雅黑" w:eastAsia="微软雅黑" w:hAnsi="微软雅黑" w:cs="微软雅黑"/>
          <w:sz w:val="18"/>
        </w:rPr>
        <w:t>，香港万峰</w:t>
      </w:r>
    </w:p>
    <w:p w14:paraId="519A660C" w14:textId="77777777" w:rsidR="00D6738B" w:rsidRDefault="004F002C">
      <w:pPr>
        <w:spacing w:after="0"/>
        <w:ind w:left="-5" w:hanging="10"/>
      </w:pPr>
      <w:r>
        <w:rPr>
          <w:rFonts w:ascii="微软雅黑" w:eastAsia="微软雅黑" w:hAnsi="微软雅黑" w:cs="微软雅黑"/>
          <w:sz w:val="20"/>
        </w:rPr>
        <w:t>图表</w:t>
      </w:r>
      <w:r>
        <w:rPr>
          <w:rFonts w:ascii="微软雅黑" w:eastAsia="微软雅黑" w:hAnsi="微软雅黑" w:cs="微软雅黑"/>
          <w:sz w:val="20"/>
        </w:rPr>
        <w:t xml:space="preserve"> 4 </w:t>
      </w:r>
      <w:r>
        <w:rPr>
          <w:rFonts w:ascii="微软雅黑" w:eastAsia="微软雅黑" w:hAnsi="微软雅黑" w:cs="微软雅黑"/>
          <w:sz w:val="20"/>
        </w:rPr>
        <w:t>新交所美元兑人民币期货</w:t>
      </w:r>
      <w:r>
        <w:rPr>
          <w:rFonts w:ascii="微软雅黑" w:eastAsia="微软雅黑" w:hAnsi="微软雅黑" w:cs="微软雅黑"/>
          <w:sz w:val="20"/>
        </w:rPr>
        <w:t>UC</w:t>
      </w:r>
      <w:r>
        <w:rPr>
          <w:rFonts w:ascii="微软雅黑" w:eastAsia="微软雅黑" w:hAnsi="微软雅黑" w:cs="微软雅黑"/>
          <w:sz w:val="20"/>
        </w:rPr>
        <w:t>主连收盘价</w:t>
      </w:r>
    </w:p>
    <w:p w14:paraId="2B49C103" w14:textId="77777777" w:rsidR="00D6738B" w:rsidRDefault="004F002C">
      <w:pPr>
        <w:spacing w:after="289"/>
      </w:pPr>
      <w:r>
        <w:rPr>
          <w:noProof/>
        </w:rPr>
        <w:drawing>
          <wp:inline distT="0" distB="0" distL="0" distR="0" wp14:anchorId="05995BB5" wp14:editId="675FEAB2">
            <wp:extent cx="5274564" cy="2988564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298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6416" w14:textId="4C7B6AF8" w:rsidR="00D6738B" w:rsidRDefault="004F002C">
      <w:pPr>
        <w:spacing w:after="154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t>资料来源：</w:t>
      </w:r>
      <w:r>
        <w:rPr>
          <w:rFonts w:ascii="微软雅黑" w:eastAsia="微软雅黑" w:hAnsi="微软雅黑" w:cs="微软雅黑"/>
          <w:sz w:val="18"/>
        </w:rPr>
        <w:t>Wind</w:t>
      </w:r>
      <w:r>
        <w:rPr>
          <w:rFonts w:ascii="微软雅黑" w:eastAsia="微软雅黑" w:hAnsi="微软雅黑" w:cs="微软雅黑"/>
          <w:sz w:val="18"/>
        </w:rPr>
        <w:t>，香港万峰</w:t>
      </w:r>
    </w:p>
    <w:p w14:paraId="56D26B38" w14:textId="77777777" w:rsidR="00D6738B" w:rsidRDefault="004F002C">
      <w:pPr>
        <w:spacing w:after="0"/>
        <w:ind w:left="-5" w:hanging="10"/>
      </w:pPr>
      <w:r>
        <w:rPr>
          <w:rFonts w:ascii="微软雅黑" w:eastAsia="微软雅黑" w:hAnsi="微软雅黑" w:cs="微软雅黑"/>
          <w:sz w:val="20"/>
        </w:rPr>
        <w:t>图表</w:t>
      </w:r>
      <w:r>
        <w:rPr>
          <w:rFonts w:ascii="微软雅黑" w:eastAsia="微软雅黑" w:hAnsi="微软雅黑" w:cs="微软雅黑"/>
          <w:sz w:val="20"/>
        </w:rPr>
        <w:t xml:space="preserve"> 5 </w:t>
      </w:r>
      <w:r>
        <w:rPr>
          <w:rFonts w:ascii="微软雅黑" w:eastAsia="微软雅黑" w:hAnsi="微软雅黑" w:cs="微软雅黑"/>
          <w:sz w:val="20"/>
        </w:rPr>
        <w:t>新交所美元兑人民币期货</w:t>
      </w:r>
      <w:r>
        <w:rPr>
          <w:rFonts w:ascii="微软雅黑" w:eastAsia="微软雅黑" w:hAnsi="微软雅黑" w:cs="微软雅黑"/>
          <w:sz w:val="20"/>
        </w:rPr>
        <w:t>UC</w:t>
      </w:r>
      <w:r>
        <w:rPr>
          <w:rFonts w:ascii="微软雅黑" w:eastAsia="微软雅黑" w:hAnsi="微软雅黑" w:cs="微软雅黑"/>
          <w:sz w:val="20"/>
        </w:rPr>
        <w:t>涨跌幅（</w:t>
      </w:r>
      <w:r>
        <w:rPr>
          <w:rFonts w:ascii="微软雅黑" w:eastAsia="微软雅黑" w:hAnsi="微软雅黑" w:cs="微软雅黑"/>
          <w:sz w:val="20"/>
        </w:rPr>
        <w:t>%</w:t>
      </w:r>
      <w:r>
        <w:rPr>
          <w:rFonts w:ascii="微软雅黑" w:eastAsia="微软雅黑" w:hAnsi="微软雅黑" w:cs="微软雅黑"/>
          <w:sz w:val="20"/>
        </w:rPr>
        <w:t>）</w:t>
      </w:r>
    </w:p>
    <w:p w14:paraId="61682B44" w14:textId="77777777" w:rsidR="00D6738B" w:rsidRDefault="004F002C">
      <w:pPr>
        <w:spacing w:after="167"/>
        <w:ind w:left="1438"/>
      </w:pPr>
      <w:r>
        <w:rPr>
          <w:noProof/>
        </w:rPr>
        <w:drawing>
          <wp:inline distT="0" distB="0" distL="0" distR="0" wp14:anchorId="65BB947D" wp14:editId="683C79D7">
            <wp:extent cx="3441192" cy="1958340"/>
            <wp:effectExtent l="0" t="0" r="0" b="0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192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0CD6E" w14:textId="2B239A69" w:rsidR="00D6738B" w:rsidRDefault="004F002C">
      <w:pPr>
        <w:spacing w:after="154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t>资料来源：</w:t>
      </w:r>
      <w:r>
        <w:rPr>
          <w:rFonts w:ascii="微软雅黑" w:eastAsia="微软雅黑" w:hAnsi="微软雅黑" w:cs="微软雅黑"/>
          <w:sz w:val="18"/>
        </w:rPr>
        <w:t>Wind</w:t>
      </w:r>
      <w:r>
        <w:rPr>
          <w:rFonts w:ascii="微软雅黑" w:eastAsia="微软雅黑" w:hAnsi="微软雅黑" w:cs="微软雅黑"/>
          <w:sz w:val="18"/>
        </w:rPr>
        <w:t>，香港万峰</w:t>
      </w:r>
    </w:p>
    <w:p w14:paraId="5AE5ED38" w14:textId="77777777" w:rsidR="00D6738B" w:rsidRDefault="004F002C">
      <w:pPr>
        <w:spacing w:after="0"/>
        <w:ind w:left="-5" w:hanging="10"/>
      </w:pPr>
      <w:r>
        <w:rPr>
          <w:rFonts w:ascii="微软雅黑" w:eastAsia="微软雅黑" w:hAnsi="微软雅黑" w:cs="微软雅黑"/>
          <w:sz w:val="20"/>
        </w:rPr>
        <w:lastRenderedPageBreak/>
        <w:t>图表</w:t>
      </w:r>
      <w:r>
        <w:rPr>
          <w:rFonts w:ascii="微软雅黑" w:eastAsia="微软雅黑" w:hAnsi="微软雅黑" w:cs="微软雅黑"/>
          <w:sz w:val="20"/>
        </w:rPr>
        <w:t xml:space="preserve"> 6 </w:t>
      </w:r>
      <w:r>
        <w:rPr>
          <w:rFonts w:ascii="微软雅黑" w:eastAsia="微软雅黑" w:hAnsi="微软雅黑" w:cs="微软雅黑"/>
          <w:sz w:val="20"/>
        </w:rPr>
        <w:t>在岸、离岸人民币及价差</w:t>
      </w:r>
    </w:p>
    <w:p w14:paraId="41CA6BB7" w14:textId="77777777" w:rsidR="00D6738B" w:rsidRDefault="004F002C">
      <w:pPr>
        <w:spacing w:after="130"/>
        <w:ind w:left="928"/>
      </w:pPr>
      <w:r>
        <w:rPr>
          <w:noProof/>
        </w:rPr>
        <w:drawing>
          <wp:inline distT="0" distB="0" distL="0" distR="0" wp14:anchorId="731B25AA" wp14:editId="7380CE8F">
            <wp:extent cx="4088765" cy="2398395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1450" w14:textId="3B73589B" w:rsidR="00D6738B" w:rsidRDefault="004F002C">
      <w:pPr>
        <w:spacing w:after="489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t>资料来源：</w:t>
      </w:r>
      <w:r>
        <w:rPr>
          <w:rFonts w:ascii="微软雅黑" w:eastAsia="微软雅黑" w:hAnsi="微软雅黑" w:cs="微软雅黑"/>
          <w:sz w:val="18"/>
        </w:rPr>
        <w:t>Wind</w:t>
      </w:r>
      <w:r>
        <w:rPr>
          <w:rFonts w:ascii="微软雅黑" w:eastAsia="微软雅黑" w:hAnsi="微软雅黑" w:cs="微软雅黑"/>
          <w:sz w:val="18"/>
        </w:rPr>
        <w:t>，香港万峰</w:t>
      </w:r>
    </w:p>
    <w:p w14:paraId="5E7F09D1" w14:textId="77777777" w:rsidR="00D6738B" w:rsidRDefault="004F002C">
      <w:pPr>
        <w:pStyle w:val="1"/>
        <w:ind w:left="-5"/>
      </w:pPr>
      <w:r>
        <w:rPr>
          <w:rFonts w:ascii="Wingdings" w:eastAsia="Wingdings" w:hAnsi="Wingdings" w:cs="Wingdings"/>
        </w:rPr>
        <w:t></w:t>
      </w:r>
      <w:r>
        <w:t>后市展望</w:t>
      </w:r>
    </w:p>
    <w:p w14:paraId="4AA87F13" w14:textId="77777777" w:rsidR="00D6738B" w:rsidRDefault="004F002C">
      <w:pPr>
        <w:spacing w:after="3" w:line="392" w:lineRule="auto"/>
        <w:ind w:left="-15" w:firstLine="410"/>
      </w:pPr>
      <w:r>
        <w:rPr>
          <w:rFonts w:ascii="微软雅黑" w:eastAsia="微软雅黑" w:hAnsi="微软雅黑" w:cs="微软雅黑"/>
          <w:sz w:val="21"/>
        </w:rPr>
        <w:t>最新数据显示，美国</w:t>
      </w:r>
      <w:r>
        <w:rPr>
          <w:rFonts w:ascii="微软雅黑" w:eastAsia="微软雅黑" w:hAnsi="微软雅黑" w:cs="微软雅黑"/>
          <w:sz w:val="21"/>
        </w:rPr>
        <w:t xml:space="preserve"> 6 </w:t>
      </w:r>
      <w:proofErr w:type="gramStart"/>
      <w:r>
        <w:rPr>
          <w:rFonts w:ascii="微软雅黑" w:eastAsia="微软雅黑" w:hAnsi="微软雅黑" w:cs="微软雅黑"/>
          <w:sz w:val="21"/>
        </w:rPr>
        <w:t>月核心</w:t>
      </w:r>
      <w:proofErr w:type="gramEnd"/>
      <w:r>
        <w:rPr>
          <w:rFonts w:ascii="微软雅黑" w:eastAsia="微软雅黑" w:hAnsi="微软雅黑" w:cs="微软雅黑"/>
          <w:sz w:val="21"/>
        </w:rPr>
        <w:t xml:space="preserve"> CPI </w:t>
      </w:r>
      <w:r>
        <w:rPr>
          <w:rFonts w:ascii="微软雅黑" w:eastAsia="微软雅黑" w:hAnsi="微软雅黑" w:cs="微软雅黑"/>
          <w:sz w:val="21"/>
        </w:rPr>
        <w:t>同比</w:t>
      </w:r>
      <w:r>
        <w:rPr>
          <w:rFonts w:ascii="微软雅黑" w:eastAsia="微软雅黑" w:hAnsi="微软雅黑" w:cs="微软雅黑"/>
          <w:sz w:val="21"/>
        </w:rPr>
        <w:t xml:space="preserve"> 2.9%</w:t>
      </w:r>
      <w:r>
        <w:rPr>
          <w:rFonts w:ascii="微软雅黑" w:eastAsia="微软雅黑" w:hAnsi="微软雅黑" w:cs="微软雅黑"/>
          <w:sz w:val="21"/>
        </w:rPr>
        <w:t>，预期</w:t>
      </w:r>
      <w:r>
        <w:rPr>
          <w:rFonts w:ascii="微软雅黑" w:eastAsia="微软雅黑" w:hAnsi="微软雅黑" w:cs="微软雅黑"/>
          <w:sz w:val="21"/>
        </w:rPr>
        <w:t xml:space="preserve"> 3.0%</w:t>
      </w:r>
      <w:r>
        <w:rPr>
          <w:rFonts w:ascii="微软雅黑" w:eastAsia="微软雅黑" w:hAnsi="微软雅黑" w:cs="微软雅黑"/>
          <w:sz w:val="21"/>
        </w:rPr>
        <w:t>，虽连续低于预期，但关税敏感品类价格已现传导迹象，</w:t>
      </w:r>
      <w:proofErr w:type="gramStart"/>
      <w:r>
        <w:rPr>
          <w:rFonts w:ascii="微软雅黑" w:eastAsia="微软雅黑" w:hAnsi="微软雅黑" w:cs="微软雅黑"/>
          <w:sz w:val="21"/>
        </w:rPr>
        <w:t>特朗普近期</w:t>
      </w:r>
      <w:proofErr w:type="gramEnd"/>
      <w:r>
        <w:rPr>
          <w:rFonts w:ascii="微软雅黑" w:eastAsia="微软雅黑" w:hAnsi="微软雅黑" w:cs="微软雅黑"/>
          <w:sz w:val="21"/>
        </w:rPr>
        <w:t>关税加码或持续抬升通胀上行风险，零售销售超预期反弹体现美国本土消费韧性，但部分受关税上调导致总体零售额的提振，为美元提供基本面支撑。</w:t>
      </w:r>
      <w:r>
        <w:rPr>
          <w:rFonts w:ascii="微软雅黑" w:eastAsia="微软雅黑" w:hAnsi="微软雅黑" w:cs="微软雅黑"/>
          <w:sz w:val="21"/>
        </w:rPr>
        <w:t xml:space="preserve">PPI </w:t>
      </w:r>
      <w:r>
        <w:rPr>
          <w:rFonts w:ascii="微软雅黑" w:eastAsia="微软雅黑" w:hAnsi="微软雅黑" w:cs="微软雅黑"/>
          <w:sz w:val="21"/>
        </w:rPr>
        <w:t>环比停滞揭示企业正通过利润压缩消化成本压力，叠加</w:t>
      </w:r>
      <w:proofErr w:type="gramStart"/>
      <w:r>
        <w:rPr>
          <w:rFonts w:ascii="微软雅黑" w:eastAsia="微软雅黑" w:hAnsi="微软雅黑" w:cs="微软雅黑"/>
          <w:sz w:val="21"/>
        </w:rPr>
        <w:t>特朗普</w:t>
      </w:r>
      <w:proofErr w:type="gramEnd"/>
      <w:r>
        <w:rPr>
          <w:rFonts w:ascii="微软雅黑" w:eastAsia="微软雅黑" w:hAnsi="微软雅黑" w:cs="微软雅黑"/>
          <w:sz w:val="21"/>
        </w:rPr>
        <w:t>对欧日加征关税的举措升级，滞胀风险仍对中期美元形成压制。尽管美联储对降息保持观望，但政策路径分歧加剧</w:t>
      </w:r>
      <w:r>
        <w:rPr>
          <w:rFonts w:ascii="微软雅黑" w:eastAsia="微软雅黑" w:hAnsi="微软雅黑" w:cs="微软雅黑"/>
          <w:sz w:val="21"/>
        </w:rPr>
        <w:t>——</w:t>
      </w:r>
      <w:r>
        <w:rPr>
          <w:rFonts w:ascii="微软雅黑" w:eastAsia="微软雅黑" w:hAnsi="微软雅黑" w:cs="微软雅黑"/>
          <w:sz w:val="21"/>
        </w:rPr>
        <w:t>若后续通胀因关税加码加速传导，或倒逼联储延</w:t>
      </w:r>
      <w:r>
        <w:rPr>
          <w:rFonts w:ascii="微软雅黑" w:eastAsia="微软雅黑" w:hAnsi="微软雅黑" w:cs="微软雅黑"/>
          <w:sz w:val="21"/>
        </w:rPr>
        <w:t>缓宽松，短期内美元或延续低位反弹，但财政赤字与信用松动的结构性矛盾未解，中期来看美元或延续偏弱格局。</w:t>
      </w:r>
    </w:p>
    <w:p w14:paraId="3D1FE82D" w14:textId="77777777" w:rsidR="00D6738B" w:rsidRDefault="004F002C">
      <w:pPr>
        <w:spacing w:after="3" w:line="392" w:lineRule="auto"/>
        <w:ind w:left="-15" w:firstLine="410"/>
      </w:pPr>
      <w:r>
        <w:rPr>
          <w:rFonts w:ascii="微软雅黑" w:eastAsia="微软雅黑" w:hAnsi="微软雅黑" w:cs="微软雅黑"/>
          <w:sz w:val="21"/>
        </w:rPr>
        <w:t>国内端，我国</w:t>
      </w:r>
      <w:r>
        <w:rPr>
          <w:rFonts w:ascii="微软雅黑" w:eastAsia="微软雅黑" w:hAnsi="微软雅黑" w:cs="微软雅黑"/>
          <w:sz w:val="21"/>
        </w:rPr>
        <w:t xml:space="preserve"> 2025 </w:t>
      </w:r>
      <w:r>
        <w:rPr>
          <w:rFonts w:ascii="微软雅黑" w:eastAsia="微软雅黑" w:hAnsi="微软雅黑" w:cs="微软雅黑"/>
          <w:sz w:val="21"/>
        </w:rPr>
        <w:t>上半年</w:t>
      </w:r>
      <w:r>
        <w:rPr>
          <w:rFonts w:ascii="微软雅黑" w:eastAsia="微软雅黑" w:hAnsi="微软雅黑" w:cs="微软雅黑"/>
          <w:sz w:val="21"/>
        </w:rPr>
        <w:t xml:space="preserve"> GDP </w:t>
      </w:r>
      <w:r>
        <w:rPr>
          <w:rFonts w:ascii="微软雅黑" w:eastAsia="微软雅黑" w:hAnsi="微软雅黑" w:cs="微软雅黑"/>
          <w:sz w:val="21"/>
        </w:rPr>
        <w:t>同比增长</w:t>
      </w:r>
      <w:r>
        <w:rPr>
          <w:rFonts w:ascii="微软雅黑" w:eastAsia="微软雅黑" w:hAnsi="微软雅黑" w:cs="微软雅黑"/>
          <w:sz w:val="21"/>
        </w:rPr>
        <w:t xml:space="preserve"> 5.3%</w:t>
      </w:r>
      <w:r>
        <w:rPr>
          <w:rFonts w:ascii="微软雅黑" w:eastAsia="微软雅黑" w:hAnsi="微软雅黑" w:cs="微软雅黑"/>
          <w:sz w:val="21"/>
        </w:rPr>
        <w:t>，随着宏观政策</w:t>
      </w:r>
      <w:r>
        <w:rPr>
          <w:rFonts w:ascii="微软雅黑" w:eastAsia="微软雅黑" w:hAnsi="微软雅黑" w:cs="微软雅黑"/>
          <w:sz w:val="21"/>
        </w:rPr>
        <w:t>“</w:t>
      </w:r>
      <w:r>
        <w:rPr>
          <w:rFonts w:ascii="微软雅黑" w:eastAsia="微软雅黑" w:hAnsi="微软雅黑" w:cs="微软雅黑"/>
          <w:sz w:val="21"/>
        </w:rPr>
        <w:t>组合拳</w:t>
      </w:r>
      <w:r>
        <w:rPr>
          <w:rFonts w:ascii="微软雅黑" w:eastAsia="微软雅黑" w:hAnsi="微软雅黑" w:cs="微软雅黑"/>
          <w:sz w:val="21"/>
        </w:rPr>
        <w:t>”</w:t>
      </w:r>
      <w:r>
        <w:rPr>
          <w:rFonts w:ascii="微软雅黑" w:eastAsia="微软雅黑" w:hAnsi="微软雅黑" w:cs="微软雅黑"/>
          <w:sz w:val="21"/>
        </w:rPr>
        <w:t>加码加力，政策效应持续释放，经济发展稳中回升，制造业作为核心动能支撑经济，而内需好转带动服务业表现亮眼，为外贸复苏打下坚实基础。此外，我国</w:t>
      </w:r>
      <w:r>
        <w:rPr>
          <w:rFonts w:ascii="微软雅黑" w:eastAsia="微软雅黑" w:hAnsi="微软雅黑" w:cs="微软雅黑"/>
          <w:sz w:val="21"/>
        </w:rPr>
        <w:t xml:space="preserve"> 6 </w:t>
      </w:r>
      <w:r>
        <w:rPr>
          <w:rFonts w:ascii="微软雅黑" w:eastAsia="微软雅黑" w:hAnsi="微软雅黑" w:cs="微软雅黑"/>
          <w:sz w:val="21"/>
        </w:rPr>
        <w:t>月出口同比</w:t>
      </w:r>
      <w:r>
        <w:rPr>
          <w:rFonts w:ascii="微软雅黑" w:eastAsia="微软雅黑" w:hAnsi="微软雅黑" w:cs="微软雅黑"/>
          <w:sz w:val="21"/>
        </w:rPr>
        <w:t xml:space="preserve"> 5.8%</w:t>
      </w:r>
      <w:r>
        <w:rPr>
          <w:rFonts w:ascii="微软雅黑" w:eastAsia="微软雅黑" w:hAnsi="微软雅黑" w:cs="微软雅黑"/>
          <w:sz w:val="21"/>
        </w:rPr>
        <w:t>，较前值</w:t>
      </w:r>
      <w:r>
        <w:rPr>
          <w:rFonts w:ascii="微软雅黑" w:eastAsia="微软雅黑" w:hAnsi="微软雅黑" w:cs="微软雅黑"/>
          <w:sz w:val="21"/>
        </w:rPr>
        <w:t xml:space="preserve"> 4.8%</w:t>
      </w:r>
      <w:r>
        <w:rPr>
          <w:rFonts w:ascii="微软雅黑" w:eastAsia="微软雅黑" w:hAnsi="微软雅黑" w:cs="微软雅黑"/>
          <w:sz w:val="21"/>
        </w:rPr>
        <w:t>小幅回升，中美贸易关系缓和有助于我国外贸水平改善。需要关注的是，</w:t>
      </w:r>
      <w:r>
        <w:rPr>
          <w:rFonts w:ascii="微软雅黑" w:eastAsia="微软雅黑" w:hAnsi="微软雅黑" w:cs="微软雅黑"/>
          <w:sz w:val="21"/>
        </w:rPr>
        <w:t>7</w:t>
      </w:r>
      <w:r>
        <w:rPr>
          <w:rFonts w:ascii="微软雅黑" w:eastAsia="微软雅黑" w:hAnsi="微软雅黑" w:cs="微软雅黑"/>
          <w:sz w:val="21"/>
        </w:rPr>
        <w:t>、</w:t>
      </w:r>
      <w:r>
        <w:rPr>
          <w:rFonts w:ascii="微软雅黑" w:eastAsia="微软雅黑" w:hAnsi="微软雅黑" w:cs="微软雅黑"/>
          <w:sz w:val="21"/>
        </w:rPr>
        <w:t xml:space="preserve">8 </w:t>
      </w:r>
      <w:r>
        <w:rPr>
          <w:rFonts w:ascii="微软雅黑" w:eastAsia="微软雅黑" w:hAnsi="微软雅黑" w:cs="微软雅黑"/>
          <w:sz w:val="21"/>
        </w:rPr>
        <w:t>月份是欧洲、日本、</w:t>
      </w:r>
      <w:r>
        <w:rPr>
          <w:rFonts w:ascii="微软雅黑" w:eastAsia="微软雅黑" w:hAnsi="微软雅黑" w:cs="微软雅黑"/>
          <w:sz w:val="21"/>
        </w:rPr>
        <w:t>越南等国家与美国重新谈判的窗口期，不确定性尚存，三季度我国出口或承压，市场避险情绪回升，近期人民币汇率震荡为主。</w:t>
      </w:r>
    </w:p>
    <w:p w14:paraId="0C1ACBE2" w14:textId="77777777" w:rsidR="00D6738B" w:rsidRDefault="004F002C">
      <w:pPr>
        <w:spacing w:after="0"/>
        <w:ind w:left="178"/>
      </w:pPr>
      <w:r>
        <w:rPr>
          <w:rFonts w:ascii="微软雅黑" w:eastAsia="微软雅黑" w:hAnsi="微软雅黑" w:cs="微软雅黑"/>
          <w:color w:val="CE393F"/>
          <w:sz w:val="40"/>
        </w:rPr>
        <w:lastRenderedPageBreak/>
        <w:t>△</w:t>
      </w:r>
      <w:r>
        <w:rPr>
          <w:rFonts w:ascii="微软雅黑" w:eastAsia="微软雅黑" w:hAnsi="微软雅黑" w:cs="微软雅黑"/>
          <w:sz w:val="20"/>
        </w:rPr>
        <w:t>免责声明</w:t>
      </w:r>
    </w:p>
    <w:p w14:paraId="7B0C6627" w14:textId="4EAB2B1E" w:rsidR="00D6738B" w:rsidRDefault="004F002C">
      <w:pPr>
        <w:spacing w:after="62" w:line="341" w:lineRule="auto"/>
        <w:ind w:left="326" w:firstLine="369"/>
      </w:pPr>
      <w:r>
        <w:rPr>
          <w:rFonts w:ascii="微软雅黑" w:eastAsia="微软雅黑" w:hAnsi="微软雅黑" w:cs="微软雅黑"/>
          <w:color w:val="898989"/>
          <w:sz w:val="18"/>
        </w:rPr>
        <w:t>此报告由香港万峰</w:t>
      </w:r>
      <w:r>
        <w:rPr>
          <w:rFonts w:ascii="微软雅黑" w:eastAsia="微软雅黑" w:hAnsi="微软雅黑" w:cs="微软雅黑"/>
          <w:color w:val="898989"/>
          <w:sz w:val="18"/>
        </w:rPr>
        <w:t>所编制。本报告采用之资料及意见</w:t>
      </w:r>
      <w:proofErr w:type="gramStart"/>
      <w:r>
        <w:rPr>
          <w:rFonts w:ascii="微软雅黑" w:eastAsia="微软雅黑" w:hAnsi="微软雅黑" w:cs="微软雅黑"/>
          <w:color w:val="898989"/>
          <w:sz w:val="18"/>
        </w:rPr>
        <w:t>均相信</w:t>
      </w:r>
      <w:proofErr w:type="gramEnd"/>
      <w:r>
        <w:rPr>
          <w:rFonts w:ascii="微软雅黑" w:eastAsia="微软雅黑" w:hAnsi="微软雅黑" w:cs="微软雅黑"/>
          <w:color w:val="898989"/>
          <w:sz w:val="18"/>
        </w:rPr>
        <w:t>可靠及准确，但本公司并不对</w:t>
      </w:r>
      <w:proofErr w:type="gramStart"/>
      <w:r>
        <w:rPr>
          <w:rFonts w:ascii="微软雅黑" w:eastAsia="微软雅黑" w:hAnsi="微软雅黑" w:cs="微软雅黑"/>
          <w:color w:val="898989"/>
          <w:sz w:val="18"/>
        </w:rPr>
        <w:t>各分析</w:t>
      </w:r>
      <w:proofErr w:type="gramEnd"/>
      <w:r>
        <w:rPr>
          <w:rFonts w:ascii="微软雅黑" w:eastAsia="微软雅黑" w:hAnsi="微软雅黑" w:cs="微软雅黑"/>
          <w:color w:val="898989"/>
          <w:sz w:val="18"/>
        </w:rPr>
        <w:t>或有关资料之可靠性及准确性</w:t>
      </w:r>
      <w:proofErr w:type="gramStart"/>
      <w:r>
        <w:rPr>
          <w:rFonts w:ascii="微软雅黑" w:eastAsia="微软雅黑" w:hAnsi="微软雅黑" w:cs="微软雅黑"/>
          <w:color w:val="898989"/>
          <w:sz w:val="18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z w:val="18"/>
        </w:rPr>
        <w:t>全面性保证。本报告只供客户或读者作参考之用，客户或读者不应完全依靠本报告内容作为投资准则。</w:t>
      </w:r>
    </w:p>
    <w:p w14:paraId="25B7EA32" w14:textId="77777777" w:rsidR="00D6738B" w:rsidRDefault="004F002C">
      <w:pPr>
        <w:spacing w:after="939" w:line="341" w:lineRule="auto"/>
        <w:ind w:left="326" w:firstLine="369"/>
      </w:pPr>
      <w:r>
        <w:rPr>
          <w:rFonts w:ascii="微软雅黑" w:eastAsia="微软雅黑" w:hAnsi="微软雅黑" w:cs="微软雅黑"/>
          <w:color w:val="898989"/>
          <w:sz w:val="18"/>
        </w:rPr>
        <w:t>本报告之资料及意见如有任何更改，恕不另行通知。本报告并非及并无意</w:t>
      </w:r>
      <w:proofErr w:type="gramStart"/>
      <w:r>
        <w:rPr>
          <w:rFonts w:ascii="微软雅黑" w:eastAsia="微软雅黑" w:hAnsi="微软雅黑" w:cs="微软雅黑"/>
          <w:color w:val="898989"/>
          <w:sz w:val="18"/>
        </w:rPr>
        <w:t>图构成</w:t>
      </w:r>
      <w:proofErr w:type="gramEnd"/>
      <w:r>
        <w:rPr>
          <w:rFonts w:ascii="微软雅黑" w:eastAsia="微软雅黑" w:hAnsi="微软雅黑" w:cs="微软雅黑"/>
          <w:color w:val="898989"/>
          <w:sz w:val="18"/>
        </w:rPr>
        <w:t>任何作价或招揽进行买卖本报告提及的商品。本公司不会对任何因依靠本报告</w:t>
      </w:r>
      <w:proofErr w:type="gramStart"/>
      <w:r>
        <w:rPr>
          <w:rFonts w:ascii="微软雅黑" w:eastAsia="微软雅黑" w:hAnsi="微软雅黑" w:cs="微软雅黑"/>
          <w:color w:val="898989"/>
          <w:sz w:val="18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z w:val="18"/>
        </w:rPr>
        <w:t>任何买卖而引致之任何损失承担任何责任。</w:t>
      </w:r>
    </w:p>
    <w:p w14:paraId="2D85EF1B" w14:textId="17A1EA8E" w:rsidR="00D6738B" w:rsidRDefault="00D6738B">
      <w:pPr>
        <w:pStyle w:val="2"/>
        <w:tabs>
          <w:tab w:val="center" w:pos="1107"/>
          <w:tab w:val="center" w:pos="4553"/>
        </w:tabs>
        <w:ind w:left="0" w:right="0" w:firstLine="0"/>
        <w:jc w:val="left"/>
      </w:pPr>
    </w:p>
    <w:sectPr w:rsidR="00D6738B">
      <w:pgSz w:w="11906" w:h="16838"/>
      <w:pgMar w:top="1497" w:right="1696" w:bottom="15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5E09"/>
    <w:multiLevelType w:val="hybridMultilevel"/>
    <w:tmpl w:val="A35C9B8A"/>
    <w:lvl w:ilvl="0" w:tplc="829E5D60">
      <w:start w:val="1"/>
      <w:numFmt w:val="decimal"/>
      <w:lvlText w:val="%1、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0C2DF0">
      <w:start w:val="1"/>
      <w:numFmt w:val="lowerLetter"/>
      <w:lvlText w:val="%2"/>
      <w:lvlJc w:val="left"/>
      <w:pPr>
        <w:ind w:left="15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C8FFE4">
      <w:start w:val="1"/>
      <w:numFmt w:val="lowerRoman"/>
      <w:lvlText w:val="%3"/>
      <w:lvlJc w:val="left"/>
      <w:pPr>
        <w:ind w:left="22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9C0D9A">
      <w:start w:val="1"/>
      <w:numFmt w:val="decimal"/>
      <w:lvlText w:val="%4"/>
      <w:lvlJc w:val="left"/>
      <w:pPr>
        <w:ind w:left="29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046FE0">
      <w:start w:val="1"/>
      <w:numFmt w:val="lowerLetter"/>
      <w:lvlText w:val="%5"/>
      <w:lvlJc w:val="left"/>
      <w:pPr>
        <w:ind w:left="36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9D45F20">
      <w:start w:val="1"/>
      <w:numFmt w:val="lowerRoman"/>
      <w:lvlText w:val="%6"/>
      <w:lvlJc w:val="left"/>
      <w:pPr>
        <w:ind w:left="43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840144">
      <w:start w:val="1"/>
      <w:numFmt w:val="decimal"/>
      <w:lvlText w:val="%7"/>
      <w:lvlJc w:val="left"/>
      <w:pPr>
        <w:ind w:left="51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12C722">
      <w:start w:val="1"/>
      <w:numFmt w:val="lowerLetter"/>
      <w:lvlText w:val="%8"/>
      <w:lvlJc w:val="left"/>
      <w:pPr>
        <w:ind w:left="58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E656CA">
      <w:start w:val="1"/>
      <w:numFmt w:val="lowerRoman"/>
      <w:lvlText w:val="%9"/>
      <w:lvlJc w:val="left"/>
      <w:pPr>
        <w:ind w:left="65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8B"/>
    <w:rsid w:val="004F002C"/>
    <w:rsid w:val="00D6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AC93"/>
  <w15:docId w15:val="{CE475339-45D0-48DD-A87F-5C2BFE7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0" w:line="259" w:lineRule="auto"/>
      <w:ind w:left="10" w:hanging="10"/>
      <w:outlineLvl w:val="0"/>
    </w:pPr>
    <w:rPr>
      <w:rFonts w:ascii="微软雅黑" w:eastAsia="微软雅黑" w:hAnsi="微软雅黑" w:cs="微软雅黑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34" w:line="265" w:lineRule="auto"/>
      <w:ind w:left="10" w:right="817" w:hanging="10"/>
      <w:jc w:val="right"/>
      <w:outlineLvl w:val="1"/>
    </w:pPr>
    <w:rPr>
      <w:rFonts w:ascii="微软雅黑" w:eastAsia="微软雅黑" w:hAnsi="微软雅黑" w:cs="微软雅黑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24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cheng yang</cp:lastModifiedBy>
  <cp:revision>2</cp:revision>
  <dcterms:created xsi:type="dcterms:W3CDTF">2025-07-30T15:16:00Z</dcterms:created>
  <dcterms:modified xsi:type="dcterms:W3CDTF">2025-07-30T15:16:00Z</dcterms:modified>
</cp:coreProperties>
</file>