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du="http://schemas.microsoft.com/office/word/2023/wordml/word16du" xmlns:oel="http://schemas.microsoft.com/office/2019/extlst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329FC820">
            <wp:extent cx="3300095" cy="11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6366EBC4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C0F2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41116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3E226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6977F136" w:rsidR="00904B93" w:rsidRDefault="003E226A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美国三大股指小幅收涨，道指涨</w:t>
      </w:r>
      <w:r w:rsidRPr="003E226A">
        <w:rPr>
          <w:rFonts w:cs="微软雅黑" w:hint="eastAsia"/>
          <w:spacing w:val="12"/>
          <w:lang w:eastAsia="zh-CN"/>
        </w:rPr>
        <w:t>0.16%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3E226A">
        <w:rPr>
          <w:rFonts w:cs="微软雅黑" w:hint="eastAsia"/>
          <w:spacing w:val="12"/>
          <w:lang w:eastAsia="zh-CN"/>
        </w:rPr>
        <w:t>500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3E226A">
        <w:rPr>
          <w:rFonts w:cs="微软雅黑" w:hint="eastAsia"/>
          <w:spacing w:val="12"/>
          <w:lang w:eastAsia="zh-CN"/>
        </w:rPr>
        <w:t>0.32%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续创历史</w:t>
      </w:r>
      <w:proofErr w:type="gramEnd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新高，</w:t>
      </w:r>
      <w:proofErr w:type="gramStart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3E226A">
        <w:rPr>
          <w:rFonts w:cs="微软雅黑" w:hint="eastAsia"/>
          <w:spacing w:val="12"/>
          <w:lang w:eastAsia="zh-CN"/>
        </w:rPr>
        <w:t>0.53%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。美元指数跌0.33%报97.87，非美货币多数上涨，欧元兑美元涨0.38%报1.1682，英镑兑美元涨0.10%报1.3512，美元兑日元跌0.32%报146.9445，离岸人民币对美元涨313个基点报7.1209。库存下降支撑油价反弹，</w:t>
      </w:r>
      <w:proofErr w:type="gramStart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合约收涨0.27%，报64.32美元/桶；布伦</w:t>
      </w:r>
      <w:proofErr w:type="gramStart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原油主力合约涨0.31%，报67.65美元/桶。国际贵金属期货普遍收涨，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黄金期货涨0.82%报3476.9美元/盎司，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COMEX</w:t>
      </w:r>
      <w:r>
        <w:rPr>
          <w:rFonts w:ascii="微软雅黑" w:eastAsia="微软雅黑" w:hAnsi="微软雅黑" w:cs="微软雅黑" w:hint="eastAsia"/>
          <w:lang w:eastAsia="zh-CN"/>
        </w:rPr>
        <w:t>白银期货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涨1.27%报39.71美元/盎司。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2549D7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0E107B">
        <w:rPr>
          <w:rFonts w:ascii="微软雅黑" w:eastAsia="微软雅黑" w:hAnsi="微软雅黑" w:cs="微软雅黑"/>
          <w:spacing w:val="12"/>
          <w:lang w:eastAsia="zh-CN"/>
        </w:rPr>
        <w:t>0.</w:t>
      </w:r>
      <w:r>
        <w:rPr>
          <w:rFonts w:ascii="微软雅黑" w:eastAsia="微软雅黑" w:hAnsi="微软雅黑" w:cs="微软雅黑"/>
          <w:spacing w:val="12"/>
          <w:lang w:eastAsia="zh-CN"/>
        </w:rPr>
        <w:t>18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>
        <w:rPr>
          <w:rFonts w:ascii="微软雅黑" w:eastAsia="微软雅黑" w:hAnsi="微软雅黑" w:cs="微软雅黑"/>
          <w:spacing w:val="12"/>
          <w:lang w:eastAsia="zh-CN"/>
        </w:rPr>
        <w:t>50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760F9A">
        <w:rPr>
          <w:rFonts w:ascii="微软雅黑" w:eastAsia="微软雅黑" w:hAnsi="微软雅黑" w:cs="微软雅黑" w:hint="eastAsia"/>
          <w:spacing w:val="12"/>
          <w:lang w:eastAsia="zh-CN"/>
        </w:rPr>
        <w:t>0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.</w:t>
      </w:r>
      <w:r>
        <w:rPr>
          <w:rFonts w:ascii="微软雅黑" w:eastAsia="微软雅黑" w:hAnsi="微软雅黑" w:cs="微软雅黑"/>
          <w:spacing w:val="12"/>
          <w:lang w:eastAsia="zh-CN"/>
        </w:rPr>
        <w:t>90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839F2">
        <w:rPr>
          <w:rFonts w:ascii="微软雅黑" w:eastAsia="微软雅黑" w:hAnsi="微软雅黑" w:cs="微软雅黑"/>
          <w:spacing w:val="12"/>
          <w:lang w:eastAsia="zh-CN"/>
        </w:rPr>
        <w:t>6</w:t>
      </w:r>
      <w:r>
        <w:rPr>
          <w:rFonts w:ascii="微软雅黑" w:eastAsia="微软雅黑" w:hAnsi="微软雅黑" w:cs="微软雅黑"/>
          <w:spacing w:val="12"/>
          <w:lang w:eastAsia="zh-CN"/>
        </w:rPr>
        <w:t>7.28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3C525A7" w:rsidR="00557736" w:rsidRPr="0022448B" w:rsidRDefault="003E226A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45C2E564" wp14:editId="79386B5E">
            <wp:extent cx="5743856" cy="3392331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80" cy="339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7BB301B7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</w:t>
      </w:r>
      <w:r w:rsidR="00F32B5C">
        <w:rPr>
          <w:rFonts w:ascii="微软雅黑" w:eastAsia="微软雅黑" w:hAnsi="微软雅黑" w:cs="微软雅黑" w:hint="eastAsia"/>
          <w:spacing w:val="12"/>
          <w:lang w:eastAsia="zh-CN"/>
        </w:rPr>
        <w:t>香港万峰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5B09DE19" w:rsidR="00B76B63" w:rsidRPr="002549D7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美联储理事丽莎</w:t>
      </w:r>
      <w:r w:rsidR="003E226A" w:rsidRPr="003E226A">
        <w:rPr>
          <w:spacing w:val="12"/>
          <w:lang w:eastAsia="zh-CN"/>
        </w:rPr>
        <w:t>·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库克已于</w:t>
      </w:r>
      <w:r w:rsidR="003E226A" w:rsidRPr="003E226A">
        <w:rPr>
          <w:rFonts w:cs="微软雅黑" w:hint="eastAsia"/>
          <w:spacing w:val="12"/>
          <w:lang w:eastAsia="zh-CN"/>
        </w:rPr>
        <w:t>8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3E226A" w:rsidRPr="003E226A">
        <w:rPr>
          <w:rFonts w:cs="微软雅黑" w:hint="eastAsia"/>
          <w:spacing w:val="12"/>
          <w:lang w:eastAsia="zh-CN"/>
        </w:rPr>
        <w:t>28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日在华盛顿联邦法院提起诉讼，对唐纳德</w:t>
      </w:r>
      <w:r w:rsidR="003E226A" w:rsidRPr="003E226A">
        <w:rPr>
          <w:spacing w:val="12"/>
          <w:lang w:eastAsia="zh-CN"/>
        </w:rPr>
        <w:t>·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特朗普总统以</w:t>
      </w:r>
      <w:r w:rsidR="003E226A" w:rsidRPr="003E226A">
        <w:rPr>
          <w:spacing w:val="12"/>
          <w:lang w:eastAsia="zh-CN"/>
        </w:rPr>
        <w:t>“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其在抵押贷款申请中撒谎</w:t>
      </w:r>
      <w:r w:rsidR="003E226A" w:rsidRPr="003E226A">
        <w:rPr>
          <w:spacing w:val="12"/>
          <w:lang w:eastAsia="zh-CN"/>
        </w:rPr>
        <w:t>”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为由试图解雇她的行为提出质疑，这场诉讼拉开了关于美国央行独立性的历史性争端序幕。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7A6AC1C8" w14:textId="3115B689" w:rsidR="00A209AB" w:rsidRPr="002549D7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美国上周初请失业金人数</w:t>
      </w:r>
      <w:r w:rsidR="003E226A" w:rsidRPr="003E226A">
        <w:rPr>
          <w:rFonts w:cs="微软雅黑" w:hint="eastAsia"/>
          <w:spacing w:val="12"/>
          <w:lang w:eastAsia="zh-CN"/>
        </w:rPr>
        <w:t>22.9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万人，预期23万人，前值从23.5万人修正为23.4万人。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62059353" w14:textId="706A671F" w:rsidR="00A42DFF" w:rsidRDefault="00A42DFF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美国二季度实际</w:t>
      </w:r>
      <w:r w:rsidR="003E226A" w:rsidRPr="003E226A">
        <w:rPr>
          <w:rFonts w:cs="微软雅黑" w:hint="eastAsia"/>
          <w:spacing w:val="12"/>
          <w:lang w:eastAsia="zh-CN"/>
        </w:rPr>
        <w:t>GDP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年化修正值环比增</w:t>
      </w:r>
      <w:r w:rsidR="003E226A" w:rsidRPr="003E226A">
        <w:rPr>
          <w:rFonts w:cs="微软雅黑" w:hint="eastAsia"/>
          <w:spacing w:val="12"/>
          <w:lang w:eastAsia="zh-CN"/>
        </w:rPr>
        <w:t>3.3%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，增幅高于预期值</w:t>
      </w:r>
      <w:r w:rsidR="003E226A" w:rsidRPr="003E226A">
        <w:rPr>
          <w:rFonts w:cs="微软雅黑" w:hint="eastAsia"/>
          <w:spacing w:val="12"/>
          <w:lang w:eastAsia="zh-CN"/>
        </w:rPr>
        <w:t>3.1%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和初值</w:t>
      </w:r>
      <w:r w:rsidR="003E226A" w:rsidRPr="003E226A">
        <w:rPr>
          <w:rFonts w:cs="微软雅黑" w:hint="eastAsia"/>
          <w:spacing w:val="12"/>
          <w:lang w:eastAsia="zh-CN"/>
        </w:rPr>
        <w:t>3%</w:t>
      </w:r>
      <w:r w:rsidR="003E226A" w:rsidRPr="003E226A">
        <w:rPr>
          <w:rFonts w:ascii="微软雅黑" w:eastAsia="微软雅黑" w:hAnsi="微软雅黑" w:cs="微软雅黑" w:hint="eastAsia"/>
          <w:spacing w:val="12"/>
          <w:lang w:eastAsia="zh-CN"/>
        </w:rPr>
        <w:t>；二季度核心个人消费支出（PCE）物价指数年化修正值环比增2.5%，与初值一致，但低于预期值2.6%。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3D02FC29" w14:textId="73C78AA5" w:rsidR="003E226A" w:rsidRPr="002549D7" w:rsidRDefault="003E226A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欧盟委员会公布数据显示，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月欧元区经济景气指数降至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95.2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，低于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95.7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，也打破了市场此前对轻微回升的预期。欧元区经济信心在</w:t>
      </w:r>
      <w:r w:rsidRPr="003E226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3E226A">
        <w:rPr>
          <w:rFonts w:ascii="微软雅黑" w:eastAsia="微软雅黑" w:hAnsi="微软雅黑" w:cs="微软雅黑" w:hint="eastAsia"/>
          <w:spacing w:val="12"/>
          <w:lang w:eastAsia="zh-CN"/>
        </w:rPr>
        <w:t>月再度下滑，表明在增长乏力的背景下，市场对未来复苏缺乏期待。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0C15C282" w14:textId="571CEC25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6045C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458E765B" w:rsidR="0086045C" w:rsidRPr="00E46AF4" w:rsidRDefault="002914A1" w:rsidP="00301E8D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 w:rsidR="003E226A">
              <w:rPr>
                <w:lang w:eastAsia="zh-CN"/>
              </w:rPr>
              <w:t>29</w:t>
            </w:r>
          </w:p>
        </w:tc>
        <w:tc>
          <w:tcPr>
            <w:tcW w:w="1314" w:type="dxa"/>
            <w:shd w:val="clear" w:color="auto" w:fill="auto"/>
          </w:tcPr>
          <w:p w14:paraId="454D24C6" w14:textId="0D5EB5A2" w:rsidR="0086045C" w:rsidRDefault="003E226A" w:rsidP="002914A1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15:55</w:t>
            </w:r>
          </w:p>
        </w:tc>
        <w:tc>
          <w:tcPr>
            <w:tcW w:w="6344" w:type="dxa"/>
            <w:shd w:val="clear" w:color="auto" w:fill="auto"/>
          </w:tcPr>
          <w:p w14:paraId="3B888876" w14:textId="11B89C7B" w:rsidR="0086045C" w:rsidRPr="005A2897" w:rsidRDefault="003E226A" w:rsidP="00F948B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3E226A">
              <w:rPr>
                <w:lang w:eastAsia="zh-CN"/>
              </w:rPr>
              <w:t>德国8月CPI月率初值</w:t>
            </w:r>
          </w:p>
        </w:tc>
      </w:tr>
      <w:bookmarkEnd w:id="0"/>
      <w:tr w:rsidR="003E226A" w:rsidRPr="008E3E9D" w14:paraId="352E2600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8165DC3" w14:textId="480ECCD3" w:rsidR="003E226A" w:rsidRDefault="003E226A" w:rsidP="003E226A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11045A">
              <w:rPr>
                <w:lang w:eastAsia="zh-CN"/>
              </w:rPr>
              <w:t>2025/8/29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3D17EC77" w14:textId="51203CF7" w:rsidR="003E226A" w:rsidRDefault="003E226A" w:rsidP="003E226A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9D756EA" w14:textId="0FA27AD3" w:rsidR="003E226A" w:rsidRPr="00D347B5" w:rsidRDefault="003E226A" w:rsidP="003E226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3E226A">
              <w:rPr>
                <w:lang w:eastAsia="zh-CN"/>
              </w:rPr>
              <w:t>美国7月核心PCE物价指数年率</w:t>
            </w:r>
          </w:p>
        </w:tc>
      </w:tr>
      <w:tr w:rsidR="003E226A" w:rsidRPr="008E3E9D" w14:paraId="2E24FFD2" w14:textId="77777777" w:rsidTr="00D347B5">
        <w:trPr>
          <w:trHeight w:val="620"/>
        </w:trPr>
        <w:tc>
          <w:tcPr>
            <w:tcW w:w="1701" w:type="dxa"/>
            <w:shd w:val="clear" w:color="auto" w:fill="auto"/>
          </w:tcPr>
          <w:p w14:paraId="5DF878B8" w14:textId="4620F0AA" w:rsidR="003E226A" w:rsidRPr="00D50E47" w:rsidRDefault="003E226A" w:rsidP="003E226A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11045A">
              <w:rPr>
                <w:lang w:eastAsia="zh-CN"/>
              </w:rPr>
              <w:t>2025/8/29</w:t>
            </w:r>
          </w:p>
        </w:tc>
        <w:tc>
          <w:tcPr>
            <w:tcW w:w="1314" w:type="dxa"/>
            <w:shd w:val="clear" w:color="auto" w:fill="auto"/>
          </w:tcPr>
          <w:p w14:paraId="203C1B9D" w14:textId="7E3AA3CC" w:rsidR="003E226A" w:rsidRDefault="003E226A" w:rsidP="003E226A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auto"/>
          </w:tcPr>
          <w:p w14:paraId="3CFC17AC" w14:textId="32407466" w:rsidR="003E226A" w:rsidRPr="00DC11C4" w:rsidRDefault="003E226A" w:rsidP="003E226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3E226A">
              <w:rPr>
                <w:rFonts w:hint="eastAsia"/>
                <w:lang w:eastAsia="zh-CN"/>
              </w:rPr>
              <w:t>美国</w:t>
            </w:r>
            <w:r w:rsidRPr="003E226A">
              <w:rPr>
                <w:lang w:eastAsia="zh-CN"/>
              </w:rPr>
              <w:t>8</w:t>
            </w:r>
            <w:r w:rsidRPr="003E226A">
              <w:rPr>
                <w:rFonts w:hint="eastAsia"/>
                <w:lang w:eastAsia="zh-CN"/>
              </w:rPr>
              <w:t>月密歇根大学消费者信心指数终值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C574A32" w14:textId="77777777" w:rsidR="003E226A" w:rsidRPr="003E226A" w:rsidRDefault="003E226A" w:rsidP="003E226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0.33%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97.87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0.38%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1.1682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0.10%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1.3512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146.9445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BC64937" w14:textId="77777777" w:rsidR="003E226A" w:rsidRPr="003E226A" w:rsidRDefault="003E226A" w:rsidP="003E226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美国第二季度实际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GDP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年化增长率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修正值录得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3.3%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，高于市场预期，较初值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3.0%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有所上修。劳动力市场仍具韧性，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周度初请失业金人数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录得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22.9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万，低于预期的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23.0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万。通胀数据呈现放缓抬升，第二季度核心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物价指数环比增长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2.5%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，低于市场预期的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2.6%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，与前值持平；同期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平减指数及整体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价格指数均录得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2.0%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，较前值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小幅回落，显示出“去通胀”进程取得阶段性进展。尽管经济数据延续韧性，但美元走势并未得到支撑：市场持续就美联储政策独立性的争论，以及对货币政策可能更快转向宽松的预期仍在反复定价；其次，经济韧性与就业通胀放缓走势的“不对称”对美债长端收益率构成双向拉扯，导致实际利率缺乏趋势性上行动力，美元难以获得实际利差优势。展望后市，今晚即将公布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环比数据将成为关键指引。若该数据验证通胀边际放缓的趋势，市场对美联储年内开启宽松周期的预期可能进一步升温，或令美元继续面临下行压力。技术面，日线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位于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附近区间震荡，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显示下行动能略有增加，短期走势或仍相对承压。</w:t>
      </w:r>
    </w:p>
    <w:p w14:paraId="502379A4" w14:textId="5A766A74" w:rsidR="002760F0" w:rsidRPr="002760F0" w:rsidRDefault="003E226A" w:rsidP="003E226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欧盟委员会数据显示，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月欧元区经济景气指数降至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95.2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，低于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95.7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，亦不及市场预期。该指标连续回落，反映在经济增长持续疲弱的背景下，市场对经济复苏预期仍偏谨慎。此前欧央行行长拉加德反复强调通胀接近目标，近期各类“软数据”预示欧元区经济前景承压，或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提振欧央行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年内降息预期。受关税局势缓和提振，日本经济数据延续韧性，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月失业率录得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2.3%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，为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2019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月以来新低，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2025 Q2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环比增长超出市场预期，连续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个季度呈现增长，支撑日央行鹰派加息立场，若后期数据不存在转弱迹象，日央行或于年内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开启加息议程，近期持续走高的日本国债收益率亦对日元形成较强支撑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08FD194F" w:rsidR="007A477E" w:rsidRDefault="003E226A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4A015C">
        <w:rPr>
          <w:rFonts w:ascii="黑体" w:eastAsia="黑体" w:hAnsi="黑体"/>
          <w:noProof/>
          <w:sz w:val="20"/>
          <w:szCs w:val="20"/>
        </w:rPr>
        <w:lastRenderedPageBreak/>
        <w:drawing>
          <wp:inline distT="0" distB="0" distL="0" distR="0" wp14:anchorId="70C0A0F8" wp14:editId="28EC4FEB">
            <wp:extent cx="4676775" cy="1905000"/>
            <wp:effectExtent l="0" t="0" r="9525" b="0"/>
            <wp:docPr id="1223205117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05117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7CAEACC5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043AD2D2" w:rsidR="002760F0" w:rsidRPr="00E061A5" w:rsidRDefault="003E226A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28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3E226A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6501.86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3E226A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0.48%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6516.25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。经济数据方面，美国二季度实际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GDP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年化修正值环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比增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3.3%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，增幅高于预期值和初值，二季度核心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物价指数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年化修正值环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比增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2.5%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，与初值一致，但低于预期值，美国经济仍然维持一定韧性。关注周五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晚间公布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月份核心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数据。货币政策上，美国纽约联储主席威廉姆斯表示，在适当时候下调利率是合适的。在政策上仍然保持适度限制性的立场，如果中性利率是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或略低，现在就处在限制区域。他还表示，对经济状况相当乐观。威廉姆斯的表态与此前鲍威尔的表态有所不同，美联储内部对降息仍存在一定分歧。整体来看，美国经济基本面并未出现明显走弱的迹象，由于市场充分反映美联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月降息预期，若今晚即将公布的美国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高于预期，将对市场情绪产生负面影响。策略上，建议暂时观望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4CFA1E7" w:rsidR="007A477E" w:rsidRPr="00EE7376" w:rsidRDefault="003E226A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177C68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6C8302EB" wp14:editId="7913CFB4">
            <wp:extent cx="5274310" cy="1535802"/>
            <wp:effectExtent l="0" t="0" r="2540" b="7620"/>
            <wp:docPr id="3" name="图片 3" descr="C:\Users\Administrator\xwechat_files\wxid_vkxlzo0vqu7s22_6f5b\temp\InputTemp\6b4fb721-dd1c-4ed6-bc1e-0b1ff7c49f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6b4fb721-dd1c-4ed6-bc1e-0b1ff7c49fc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7659617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284808FF" w:rsidR="002760F0" w:rsidRPr="00AE484C" w:rsidRDefault="003E226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28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1.02%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14816.25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0.66%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14763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上工业企业利润降幅连续两个月收窄，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但营收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增速不及成本增速，使得营收利润率下滑，工业企业仍面临增收不增利的情况。而</w:t>
      </w:r>
      <w:proofErr w:type="gramStart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月经济数据整体不及预期。金融数据显示居民正逐步由超额储蓄转向消费。个股层面，从目前已披露半年报的上市公司情况看，沪深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、上证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及中证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净利增速均较一季度小幅回落，而中证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净利增速由一季度增长转为下滑。资金面，北向资金成交保持活跃，两融余额持续攀升。整体来看，在经过持续的大幅拉涨后，市场出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现获利回吐的动作，短期或呈现震荡整固。目前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股上市公司半年报即将披露完毕，市场关注上市公司半年报状况。在当前的低利率环境下，居民存款搬家将为市场注入流动性，而此前政策对中长期资金入市的安排，也对优化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股投资结构起到助推效果。此外，在美股估值偏高的情况下，估值较为合理的</w:t>
      </w:r>
      <w:r w:rsidRPr="003E226A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3E226A">
        <w:rPr>
          <w:rFonts w:ascii="微软雅黑" w:eastAsia="微软雅黑" w:hAnsi="微软雅黑" w:cs="微软雅黑" w:hint="eastAsia"/>
          <w:spacing w:val="7"/>
          <w:lang w:eastAsia="zh-CN"/>
        </w:rPr>
        <w:t>股也持续吸引外资流入。最后，由于经济数据表现不佳，市场对政策加码的预期仍存。策略上，建议轻仓逢低买入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5584BEEA" w:rsidR="009372C5" w:rsidRPr="00D44799" w:rsidRDefault="003E226A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177C68">
        <w:rPr>
          <w:rFonts w:asciiTheme="minorEastAsia" w:hAnsiTheme="minorEastAsia" w:cs="Times New Roman"/>
          <w:noProof/>
        </w:rPr>
        <w:drawing>
          <wp:inline distT="0" distB="0" distL="0" distR="0" wp14:anchorId="609CEC0D" wp14:editId="7F188EC7">
            <wp:extent cx="5274310" cy="1532596"/>
            <wp:effectExtent l="0" t="0" r="2540" b="0"/>
            <wp:docPr id="16" name="图片 16" descr="C:\Users\Administrator\xwechat_files\wxid_vkxlzo0vqu7s22_6f5b\temp\InputTemp\b4d8a8aa-f181-4792-8061-351c1d73c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b4d8a8aa-f181-4792-8061-351c1d73c3f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35225BE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25642B72" w:rsidR="002760F0" w:rsidRDefault="00D12237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铜震荡反弹，报收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4.5445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+1.09%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。国际方面，美国二季度实际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GDP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年化修正值环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比增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3.3%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，增幅高于预期值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3.1%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和初值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；二季度核心个人消费支出（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）物价指数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年化修正值环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比增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2.5%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，与初值一致，但低于预期值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2.6%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。国内方面，《中共中央国务院关于推动城市高质量发展的意见》对外公布。意见提出，到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2030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年，现代化人民城市建设取得重要进展，适应城市高质量发展的政策制度不断完善，新旧动能加快转换。库存方面，截至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28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275226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+1459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157950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+1850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21232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-55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吨。美元美债方面，美元指数震荡下跌，盘中因美国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和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初请数据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好于预期而有所反弹，但最终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仍收跌</w:t>
      </w:r>
      <w:proofErr w:type="gramEnd"/>
      <w:r w:rsidRPr="00D12237">
        <w:rPr>
          <w:rFonts w:ascii="微软雅黑" w:eastAsia="微软雅黑" w:hAnsi="微软雅黑" w:cs="微软雅黑"/>
          <w:spacing w:val="12"/>
          <w:lang w:eastAsia="zh-CN"/>
        </w:rPr>
        <w:t>0.29%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97.859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。美债收益率涨跌不一，基准的</w:t>
      </w:r>
      <w:proofErr w:type="gramStart"/>
      <w:r w:rsidRPr="00D1223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4.209%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D1223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3.637%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F8ACEFD" w14:textId="258ECD12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138726B" w:rsidR="00A02266" w:rsidRDefault="00D12237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4D8A612A" wp14:editId="50BE707B">
            <wp:extent cx="5274310" cy="25069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7D216159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75522224" w:rsidR="00EF55A3" w:rsidRDefault="00D12237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隔夜，国际贵金属期货普遍收涨，国际贵金属期货普遍收涨，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0.82%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3476.9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1.27%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39.71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黄金白银主力合约均录得上涨。市场继续围绕美联储独立性担忧以及中期降息预期展开交易。美国第二季度实际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GDP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年化增长率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较前值上修，高于市场预期。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周度初请失业金人数小幅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下滑，劳动力市场仍保有一定韧性。通胀数据呈现放缓抬升，第二季度核心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物价指数环比增长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2.5%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，低于市场预期的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2.6%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，与前值持平；同期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平减指数及整体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价格指数均录得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2.0%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，较前值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2.1%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小幅回落，显示出“去通胀”进程取得阶段性进展。宏观数据显示美国经济韧性犹存，但美元近期持续承压回调，叠加</w:t>
      </w:r>
      <w:proofErr w:type="gramStart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特朗普持续</w:t>
      </w:r>
      <w:proofErr w:type="gramEnd"/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威胁美联储官员，市场避险情绪再度受到提振，贵金属市场维持较强走势，伦敦金价持稳于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3400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盎司关键阻力位。往后看，今晚即将公布的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月核心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环比数据将成为关键指引。若该数据验证通胀边际放缓的趋势，市场对美联储年内开启宽松周期的预期或进一步升温，金价有望突破阶段性新高。白银方面，走势大致跟随金价，降息预期以及日益增长的工业需求韧性为银价提供较强支撑，金银比仍有一定回落空间。技术面，日线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RSI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显示黄金突破震荡区间，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MACD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指标显示短期动能上行。伦敦金价关注区间：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3350-3450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38.5-39.5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223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194A3C6" w:rsidR="007A477E" w:rsidRDefault="00D12237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4A015C">
        <w:rPr>
          <w:rFonts w:ascii="黑体" w:eastAsia="黑体" w:hAnsi="黑体"/>
          <w:noProof/>
          <w:sz w:val="24"/>
        </w:rPr>
        <w:drawing>
          <wp:inline distT="0" distB="0" distL="0" distR="0" wp14:anchorId="0E5BADDD" wp14:editId="6E299CF9">
            <wp:extent cx="4705350" cy="1971675"/>
            <wp:effectExtent l="0" t="0" r="0" b="9525"/>
            <wp:docPr id="1035729162" name="图片 3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29162" name="图片 3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206B2A76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0DB420D8" w14:textId="77777777" w:rsidR="00D12237" w:rsidRPr="00D12237" w:rsidRDefault="00D12237" w:rsidP="00D12237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原糖期货周四大体持稳，因全球需求较为强劲的迹象为糖价提供了支撑。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月原糖期货收高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0.01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16.48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25CAF8C" w14:textId="77777777" w:rsidR="00D12237" w:rsidRPr="00D12237" w:rsidRDefault="00D12237" w:rsidP="00D12237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国际方面，一方面，亚洲主要产糖国生产前景良好，全球供应预期偏松，另一反面，市场担忧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年度巴西甘蔗含糖量，加之需求有改善迹象，因此原糖价格低位震荡。欧洲贸易表示，巴基斯坦贸易公司一发布一项国际招标，寻购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万吨白糖。</w:t>
      </w:r>
    </w:p>
    <w:p w14:paraId="3169D4C2" w14:textId="48C766B9" w:rsidR="00D372FB" w:rsidRDefault="00D12237" w:rsidP="00D12237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期糖短期暂时观望</w:t>
      </w:r>
      <w:r w:rsidR="00D372FB" w:rsidRPr="00D372F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3F2CB6B3" w:rsidR="00C24CC6" w:rsidRPr="00CF1235" w:rsidRDefault="004D5774" w:rsidP="00D372FB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6A4636A7" w:rsidR="007A477E" w:rsidRDefault="00D12237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7E119C" wp14:editId="22B08E0C">
            <wp:extent cx="5274310" cy="16827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60513014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08C6E63" w14:textId="77777777" w:rsidR="00D12237" w:rsidRPr="00D12237" w:rsidRDefault="00D12237" w:rsidP="00D1223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棉花期货周四上涨，因技术性买盘即美元疲软。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月棉花期货合约上涨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0.62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67.30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673A595" w14:textId="77777777" w:rsidR="00D12237" w:rsidRPr="00D12237" w:rsidRDefault="00D12237" w:rsidP="00D1223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国际方面，美国农业部出口销售报告显示，截至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21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日当周，美国当前市场年度棉花出口销售净增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17.93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万包，其中，对中国大陆出口销售净增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0.44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万吨。当周，美国棉花出口装船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11.27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万包。美国政府以印度进口俄罗斯石油为由对印输美商品加征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25%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惩罚性关税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27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日正式生效，至此美国对印度产品征收的关税税率累计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50%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。印度将政府原棉进口关税豁免延长至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31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日，在豁免前，进口到印度的棉花共征收约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的关税。印度主要服装和纺织出口商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2024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年向美国出口的商品价值超过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20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亿美元。</w:t>
      </w:r>
    </w:p>
    <w:p w14:paraId="28F18414" w14:textId="6DA401E5" w:rsidR="00EF55A3" w:rsidRPr="00EF55A3" w:rsidRDefault="00D12237" w:rsidP="00D1223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D12237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D1223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5B3B72B4" w:rsidR="00C24CC6" w:rsidRDefault="00D12237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36A749DE" wp14:editId="576F1312">
            <wp:extent cx="5259705" cy="166814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2C56AA0A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F32B5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3049F774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</w:t>
      </w:r>
      <w:r w:rsidR="00F32B5C"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香港万峰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4F9C7469" w14:textId="20A6DB7C" w:rsidR="009372C5" w:rsidRDefault="009372C5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sectPr w:rsidR="009372C5">
      <w:headerReference w:type="default" r:id="rId22"/>
      <w:footerReference w:type="default" r:id="rId23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D1C20" w14:textId="77777777" w:rsidR="00E02C85" w:rsidRDefault="00E02C85">
      <w:pPr>
        <w:ind w:right="210" w:firstLine="420"/>
      </w:pPr>
      <w:r>
        <w:separator/>
      </w:r>
    </w:p>
  </w:endnote>
  <w:endnote w:type="continuationSeparator" w:id="0">
    <w:p w14:paraId="3613DF7C" w14:textId="77777777" w:rsidR="00E02C85" w:rsidRDefault="00E02C85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52724B35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12237">
                            <w:rPr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52724B35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D12237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8D2C3" w14:textId="77777777" w:rsidR="00E02C85" w:rsidRDefault="00E02C85">
      <w:pPr>
        <w:ind w:right="210" w:firstLine="420"/>
      </w:pPr>
      <w:r>
        <w:separator/>
      </w:r>
    </w:p>
  </w:footnote>
  <w:footnote w:type="continuationSeparator" w:id="0">
    <w:p w14:paraId="47642331" w14:textId="77777777" w:rsidR="00E02C85" w:rsidRDefault="00E02C85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ABDA68A">
          <wp:extent cx="2263140" cy="808264"/>
          <wp:effectExtent l="0" t="0" r="3810" b="0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80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2E7B"/>
    <w:rsid w:val="000242B6"/>
    <w:rsid w:val="00024574"/>
    <w:rsid w:val="00030118"/>
    <w:rsid w:val="000334A3"/>
    <w:rsid w:val="00033BB5"/>
    <w:rsid w:val="000356EE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E107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83B"/>
    <w:rsid w:val="00490F16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2C85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2B5C"/>
    <w:rsid w:val="00F330C4"/>
    <w:rsid w:val="00F338BB"/>
    <w:rsid w:val="00F338D7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EED3C0-BA58-4D76-9901-6C0BD3F5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706</Words>
  <Characters>4028</Characters>
  <Application>Microsoft Office Word</Application>
  <DocSecurity>0</DocSecurity>
  <Lines>33</Lines>
  <Paragraphs>9</Paragraphs>
  <ScaleCrop>false</ScaleCrop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cheng yang</cp:lastModifiedBy>
  <cp:revision>3</cp:revision>
  <cp:lastPrinted>2024-07-26T02:41:00Z</cp:lastPrinted>
  <dcterms:created xsi:type="dcterms:W3CDTF">2025-08-29T01:27:00Z</dcterms:created>
  <dcterms:modified xsi:type="dcterms:W3CDTF">2025-09-06T12:42:00Z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